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2F2F1">
      <w:r>
        <w:drawing>
          <wp:inline distT="0" distB="0" distL="114300" distR="114300">
            <wp:extent cx="6181090" cy="3375660"/>
            <wp:effectExtent l="0" t="0" r="635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4603115"/>
            <wp:effectExtent l="0" t="0" r="762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460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3160395"/>
            <wp:effectExtent l="0" t="0" r="698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45309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说明</w:t>
      </w:r>
    </w:p>
    <w:p w14:paraId="70DEF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经查，房产税、城市维护建设税及印花税存在多计提情况，为保证账实相符，现做冲减处理。</w:t>
      </w:r>
    </w:p>
    <w:p w14:paraId="27654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5C9E2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2026年5月26日</w:t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80E7E"/>
    <w:rsid w:val="48A8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2026-06-05T09:07:00Z</dcterms:created>
  <dc:creator>二哈哈</dc:creator>
  <cp:lastModifiedBy>℡♛     莎莎ヾ</cp:lastModifiedBy>
  <dcterms:modified xsi:type="dcterms:W3CDTF">2026-06-05T09:32:44Z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F1ACC9677C414FDF9A69E5F9B8A0B1A3_11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