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21CC4">
      <w:pPr>
        <w:pStyle w:val="3"/>
        <w:ind w:left="2478"/>
        <w:rPr>
          <w:rFonts w:ascii="Times New Roman"/>
          <w:sz w:val="20"/>
        </w:rPr>
      </w:pPr>
      <w:r>
        <w:rPr>
          <w:rFonts w:ascii="Times New Roman"/>
          <w:sz w:val="20"/>
        </w:rPr>
        <w:drawing>
          <wp:inline distT="0" distB="0" distL="0" distR="0">
            <wp:extent cx="3863975" cy="452120"/>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3864530" cy="452627"/>
                    </a:xfrm>
                    <a:prstGeom prst="rect">
                      <a:avLst/>
                    </a:prstGeom>
                  </pic:spPr>
                </pic:pic>
              </a:graphicData>
            </a:graphic>
          </wp:inline>
        </w:drawing>
      </w:r>
    </w:p>
    <w:p w14:paraId="0252E363">
      <w:pPr>
        <w:pStyle w:val="2"/>
      </w:pPr>
      <w:r>
        <w:rPr>
          <w:spacing w:val="-4"/>
        </w:rPr>
        <w:t>营业中断保险（2025版）</w:t>
      </w:r>
      <w:r>
        <w:rPr>
          <w:spacing w:val="-7"/>
        </w:rPr>
        <w:t>投保单</w:t>
      </w:r>
    </w:p>
    <w:p w14:paraId="60DDC30E">
      <w:pPr>
        <w:spacing w:before="145"/>
        <w:ind w:left="0" w:right="179" w:firstLine="0"/>
        <w:jc w:val="right"/>
        <w:rPr>
          <w:sz w:val="20"/>
        </w:rPr>
      </w:pPr>
      <w:r>
        <w:rPr>
          <w:sz w:val="20"/>
        </w:rPr>
        <mc:AlternateContent>
          <mc:Choice Requires="wpg">
            <w:drawing>
              <wp:anchor distT="0" distB="0" distL="0" distR="0" simplePos="0" relativeHeight="251659264" behindDoc="1" locked="0" layoutInCell="1" allowOverlap="1">
                <wp:simplePos x="0" y="0"/>
                <wp:positionH relativeFrom="page">
                  <wp:posOffset>359410</wp:posOffset>
                </wp:positionH>
                <wp:positionV relativeFrom="paragraph">
                  <wp:posOffset>287655</wp:posOffset>
                </wp:positionV>
                <wp:extent cx="6833235" cy="63500"/>
                <wp:effectExtent l="0" t="0" r="0" b="0"/>
                <wp:wrapTopAndBottom/>
                <wp:docPr id="2" name="Group 2"/>
                <wp:cNvGraphicFramePr/>
                <a:graphic xmlns:a="http://schemas.openxmlformats.org/drawingml/2006/main">
                  <a:graphicData uri="http://schemas.microsoft.com/office/word/2010/wordprocessingGroup">
                    <wpg:wgp>
                      <wpg:cNvGrpSpPr/>
                      <wpg:grpSpPr>
                        <a:xfrm>
                          <a:off x="0" y="0"/>
                          <a:ext cx="6833234" cy="63500"/>
                          <a:chOff x="0" y="0"/>
                          <a:chExt cx="6833234" cy="63500"/>
                        </a:xfrm>
                      </wpg:grpSpPr>
                      <wps:wsp>
                        <wps:cNvPr id="3" name="Graphic 3"/>
                        <wps:cNvSpPr/>
                        <wps:spPr>
                          <a:xfrm>
                            <a:off x="0" y="14395"/>
                            <a:ext cx="6833234" cy="1270"/>
                          </a:xfrm>
                          <a:custGeom>
                            <a:avLst/>
                            <a:gdLst/>
                            <a:ahLst/>
                            <a:cxnLst/>
                            <a:rect l="l" t="t" r="r" b="b"/>
                            <a:pathLst>
                              <a:path w="6833234">
                                <a:moveTo>
                                  <a:pt x="0" y="0"/>
                                </a:moveTo>
                                <a:lnTo>
                                  <a:pt x="6832790" y="0"/>
                                </a:lnTo>
                              </a:path>
                            </a:pathLst>
                          </a:custGeom>
                          <a:ln w="28790">
                            <a:solidFill>
                              <a:srgbClr val="FF0505"/>
                            </a:solidFill>
                            <a:prstDash val="solid"/>
                          </a:ln>
                        </wps:spPr>
                        <wps:bodyPr wrap="square" lIns="0" tIns="0" rIns="0" bIns="0" rtlCol="0">
                          <a:noAutofit/>
                        </wps:bodyPr>
                      </wps:wsp>
                      <wps:wsp>
                        <wps:cNvPr id="4" name="Graphic 4"/>
                        <wps:cNvSpPr/>
                        <wps:spPr>
                          <a:xfrm>
                            <a:off x="0" y="61334"/>
                            <a:ext cx="6833234" cy="1270"/>
                          </a:xfrm>
                          <a:custGeom>
                            <a:avLst/>
                            <a:gdLst/>
                            <a:ahLst/>
                            <a:cxnLst/>
                            <a:rect l="l" t="t" r="r" b="b"/>
                            <a:pathLst>
                              <a:path w="6833234">
                                <a:moveTo>
                                  <a:pt x="0" y="0"/>
                                </a:moveTo>
                                <a:lnTo>
                                  <a:pt x="6832790" y="0"/>
                                </a:lnTo>
                              </a:path>
                            </a:pathLst>
                          </a:custGeom>
                          <a:ln w="3594">
                            <a:solidFill>
                              <a:srgbClr val="FF0505"/>
                            </a:solidFill>
                            <a:prstDash val="solid"/>
                          </a:ln>
                        </wps:spPr>
                        <wps:bodyPr wrap="square" lIns="0" tIns="0" rIns="0" bIns="0" rtlCol="0">
                          <a:noAutofit/>
                        </wps:bodyPr>
                      </wps:wsp>
                    </wpg:wgp>
                  </a:graphicData>
                </a:graphic>
              </wp:anchor>
            </w:drawing>
          </mc:Choice>
          <mc:Fallback>
            <w:pict>
              <v:group id="Group 2" o:spid="_x0000_s1026" o:spt="203" style="position:absolute;left:0pt;margin-left:28.3pt;margin-top:22.65pt;height:5pt;width:538.05pt;mso-position-horizontal-relative:page;mso-wrap-distance-bottom:0pt;mso-wrap-distance-top:0pt;z-index:-251657216;mso-width-relative:page;mso-height-relative:page;" coordsize="6833234,63500" o:gfxdata="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OhCamNgAAAAJAQAADwAAAAAAAAABACAAAAAiAAAAZHJzL2Rvd25yZXYueG1sUEsBAhQAFAAAAAgA&#10;h07iQC0tnimXAgAASwgAAA4AAAAAAAAAAQAgAAAAJwEAAGRycy9lMm9Eb2MueG1sUEsFBgAAAAAG&#10;AAYAWQEAADAGAAAAAA==&#10;">
                <o:lock v:ext="edit" aspectratio="f"/>
                <v:shape id="Graphic 3" o:spid="_x0000_s1026" o:spt="100" style="position:absolute;left:0;top:14395;height:1270;width:6833234;" filled="f" stroked="t" coordsize="6833234,1" o:gfxdata="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7xem8AAAA&#10;2gAAAA8AAAAAAAAAAQAgAAAAIgAAAGRycy9kb3ducmV2LnhtbFBLAQIUABQAAAAIAIdO4kAzLwWe&#10;OwAAADkAAAAQAAAAAAAAAAEAIAAAAAsBAABkcnMvc2hhcGV4bWwueG1sUEsFBgAAAAAGAAYAWwEA&#10;ALUDAAAAAA==&#10;" path="m0,0l6832790,0e">
                  <v:fill on="f" focussize="0,0"/>
                  <v:stroke weight="2.26692913385827pt" color="#FF0505" joinstyle="round"/>
                  <v:imagedata o:title=""/>
                  <o:lock v:ext="edit" aspectratio="f"/>
                  <v:textbox inset="0mm,0mm,0mm,0mm"/>
                </v:shape>
                <v:shape id="Graphic 4" o:spid="_x0000_s1026" o:spt="100" style="position:absolute;left:0;top:61334;height:1270;width:6833234;" filled="f" stroked="t" coordsize="6833234,1" o:gfxdata="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RRx2LsAAADa&#10;AAAADwAAAAAAAAABACAAAAAiAAAAZHJzL2Rvd25yZXYueG1sUEsBAhQAFAAAAAgAh07iQDMvBZ47&#10;AAAAOQAAABAAAAAAAAAAAQAgAAAACgEAAGRycy9zaGFwZXhtbC54bWxQSwUGAAAAAAYABgBbAQAA&#10;tAMAAAAA&#10;" path="m0,0l6832790,0e">
                  <v:fill on="f" focussize="0,0"/>
                  <v:stroke weight="0.282992125984252pt" color="#FF0505" joinstyle="round"/>
                  <v:imagedata o:title=""/>
                  <o:lock v:ext="edit" aspectratio="f"/>
                  <v:textbox inset="0mm,0mm,0mm,0mm"/>
                </v:shape>
                <w10:wrap type="topAndBottom"/>
              </v:group>
            </w:pict>
          </mc:Fallback>
        </mc:AlternateContent>
      </w:r>
      <w:r>
        <w:rPr>
          <w:b/>
          <w:spacing w:val="-2"/>
          <w:sz w:val="20"/>
        </w:rPr>
        <w:t>No.</w:t>
      </w:r>
      <w:r>
        <w:rPr>
          <w:spacing w:val="-2"/>
          <w:sz w:val="20"/>
        </w:rPr>
        <w:t>A2605079650400180000000003</w:t>
      </w:r>
    </w:p>
    <w:p w14:paraId="1E2701CE">
      <w:pPr>
        <w:spacing w:before="80" w:line="261" w:lineRule="auto"/>
        <w:ind w:left="170" w:right="283" w:firstLine="400"/>
        <w:jc w:val="both"/>
        <w:rPr>
          <w:b/>
          <w:sz w:val="20"/>
        </w:rPr>
      </w:pPr>
      <w:r>
        <w:rPr>
          <w:b/>
          <w:spacing w:val="-2"/>
          <w:sz w:val="20"/>
        </w:rPr>
        <w:t>请您仔细阅读保险条款，尤其是其中免除保险人责任的条款（包括但不限于责任免除、免赔率与免赔额、投保人与被保险人义务、赔偿处理、通用条款等），以及本保险合同中缴费约定与特别约定的内容，并听取保险公司业务人员的相关说明。请您在充分理解相关条款的真实含义及其法律后果后，再如实填写投保单各项内容。</w:t>
      </w:r>
    </w:p>
    <w:p w14:paraId="7406A9B1">
      <w:pPr>
        <w:pStyle w:val="3"/>
        <w:spacing w:before="4"/>
        <w:ind w:left="0"/>
        <w:rPr>
          <w:b/>
          <w:sz w:val="7"/>
        </w:rPr>
      </w:pPr>
    </w:p>
    <w:tbl>
      <w:tblPr>
        <w:tblStyle w:val="5"/>
        <w:tblW w:w="0" w:type="auto"/>
        <w:tblInd w:w="1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4"/>
        <w:gridCol w:w="221"/>
        <w:gridCol w:w="2585"/>
        <w:gridCol w:w="1423"/>
        <w:gridCol w:w="1015"/>
        <w:gridCol w:w="1060"/>
        <w:gridCol w:w="725"/>
        <w:gridCol w:w="1156"/>
        <w:gridCol w:w="1451"/>
      </w:tblGrid>
      <w:tr w14:paraId="1D607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134" w:type="dxa"/>
            <w:vMerge w:val="restart"/>
          </w:tcPr>
          <w:p w14:paraId="24AD1176">
            <w:pPr>
              <w:pStyle w:val="9"/>
              <w:ind w:left="0"/>
              <w:rPr>
                <w:b/>
                <w:sz w:val="20"/>
              </w:rPr>
            </w:pPr>
          </w:p>
          <w:p w14:paraId="067B42C9">
            <w:pPr>
              <w:pStyle w:val="9"/>
              <w:spacing w:before="57"/>
              <w:ind w:left="0"/>
              <w:rPr>
                <w:b/>
                <w:sz w:val="20"/>
              </w:rPr>
            </w:pPr>
          </w:p>
          <w:p w14:paraId="73440E36">
            <w:pPr>
              <w:pStyle w:val="9"/>
              <w:rPr>
                <w:b/>
                <w:sz w:val="20"/>
              </w:rPr>
            </w:pPr>
            <w:r>
              <w:rPr>
                <w:b/>
                <w:spacing w:val="-5"/>
                <w:sz w:val="20"/>
              </w:rPr>
              <w:t>投保人</w:t>
            </w:r>
          </w:p>
        </w:tc>
        <w:tc>
          <w:tcPr>
            <w:tcW w:w="4229" w:type="dxa"/>
            <w:gridSpan w:val="3"/>
          </w:tcPr>
          <w:p w14:paraId="407E5FCB">
            <w:pPr>
              <w:pStyle w:val="9"/>
              <w:spacing w:before="16"/>
              <w:rPr>
                <w:sz w:val="20"/>
              </w:rPr>
            </w:pPr>
            <w:r>
              <w:rPr>
                <w:spacing w:val="-1"/>
                <w:sz w:val="20"/>
              </w:rPr>
              <w:t>名称：</w:t>
            </w:r>
            <w:r>
              <w:rPr>
                <w:rFonts w:hint="eastAsia"/>
                <w:spacing w:val="-1"/>
                <w:sz w:val="20"/>
              </w:rPr>
              <w:t>且末县通力水电有限责任公司</w:t>
            </w:r>
          </w:p>
        </w:tc>
        <w:tc>
          <w:tcPr>
            <w:tcW w:w="5407" w:type="dxa"/>
            <w:gridSpan w:val="5"/>
          </w:tcPr>
          <w:p w14:paraId="3D07FD20">
            <w:pPr>
              <w:pStyle w:val="9"/>
              <w:spacing w:before="16"/>
              <w:rPr>
                <w:sz w:val="20"/>
              </w:rPr>
            </w:pPr>
            <w:r>
              <w:rPr>
                <w:sz w:val="20"/>
              </w:rPr>
              <w:t>联系电话</w:t>
            </w:r>
            <w:r>
              <w:rPr>
                <w:spacing w:val="-2"/>
                <w:sz w:val="20"/>
              </w:rPr>
              <w:t>：18119116451</w:t>
            </w:r>
          </w:p>
        </w:tc>
      </w:tr>
      <w:tr w14:paraId="47DE3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134" w:type="dxa"/>
            <w:vMerge w:val="continue"/>
            <w:tcBorders>
              <w:top w:val="nil"/>
            </w:tcBorders>
          </w:tcPr>
          <w:p w14:paraId="27867434">
            <w:pPr>
              <w:rPr>
                <w:sz w:val="2"/>
                <w:szCs w:val="2"/>
              </w:rPr>
            </w:pPr>
          </w:p>
        </w:tc>
        <w:tc>
          <w:tcPr>
            <w:tcW w:w="4229" w:type="dxa"/>
            <w:gridSpan w:val="3"/>
          </w:tcPr>
          <w:p w14:paraId="66E8751D">
            <w:pPr>
              <w:pStyle w:val="4"/>
              <w:keepNext w:val="0"/>
              <w:keepLines w:val="0"/>
              <w:widowControl/>
              <w:suppressLineNumbers w:val="0"/>
              <w:spacing w:before="0" w:beforeAutospacing="0" w:after="0" w:afterAutospacing="0"/>
              <w:ind w:left="0" w:right="0" w:firstLine="0"/>
              <w:rPr>
                <w:sz w:val="20"/>
              </w:rPr>
            </w:pPr>
            <w:r>
              <w:rPr>
                <w:sz w:val="20"/>
              </w:rPr>
              <w:t>证件号码</w:t>
            </w:r>
            <w:r>
              <w:rPr>
                <w:spacing w:val="-2"/>
                <w:sz w:val="20"/>
              </w:rPr>
              <w:t>：</w:t>
            </w:r>
            <w:r>
              <w:rPr>
                <w:rFonts w:ascii="宋体" w:hAnsi="宋体" w:eastAsia="宋体" w:cs="宋体"/>
                <w:spacing w:val="-2"/>
                <w:kern w:val="0"/>
                <w:sz w:val="20"/>
                <w:szCs w:val="22"/>
                <w:lang w:val="en-US" w:eastAsia="zh-CN" w:bidi="ar-SA"/>
              </w:rPr>
              <w:t>916528250948819870</w:t>
            </w:r>
          </w:p>
        </w:tc>
        <w:tc>
          <w:tcPr>
            <w:tcW w:w="5407" w:type="dxa"/>
            <w:gridSpan w:val="5"/>
          </w:tcPr>
          <w:p w14:paraId="35F06018">
            <w:pPr>
              <w:pStyle w:val="9"/>
              <w:spacing w:before="16"/>
              <w:rPr>
                <w:sz w:val="20"/>
              </w:rPr>
            </w:pPr>
            <w:r>
              <w:rPr>
                <w:spacing w:val="-2"/>
                <w:sz w:val="20"/>
              </w:rPr>
              <w:t>联系邮箱：</w:t>
            </w:r>
          </w:p>
        </w:tc>
      </w:tr>
      <w:tr w14:paraId="50B21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134" w:type="dxa"/>
            <w:vMerge w:val="continue"/>
            <w:tcBorders>
              <w:top w:val="nil"/>
            </w:tcBorders>
          </w:tcPr>
          <w:p w14:paraId="0054CC14">
            <w:pPr>
              <w:rPr>
                <w:sz w:val="2"/>
                <w:szCs w:val="2"/>
              </w:rPr>
            </w:pPr>
          </w:p>
        </w:tc>
        <w:tc>
          <w:tcPr>
            <w:tcW w:w="4229" w:type="dxa"/>
            <w:gridSpan w:val="3"/>
          </w:tcPr>
          <w:p w14:paraId="7A2C9225">
            <w:pPr>
              <w:pStyle w:val="4"/>
              <w:keepNext w:val="0"/>
              <w:keepLines w:val="0"/>
              <w:widowControl/>
              <w:suppressLineNumbers w:val="0"/>
              <w:spacing w:before="0" w:beforeAutospacing="0" w:after="0" w:afterAutospacing="0"/>
              <w:ind w:left="0" w:right="0" w:firstLine="0"/>
              <w:rPr>
                <w:sz w:val="20"/>
              </w:rPr>
            </w:pPr>
            <w:r>
              <w:rPr>
                <w:spacing w:val="-2"/>
                <w:sz w:val="20"/>
              </w:rPr>
              <w:t>联系地址：</w:t>
            </w:r>
            <w:r>
              <w:rPr>
                <w:spacing w:val="-2"/>
                <w:sz w:val="20"/>
                <w:szCs w:val="20"/>
              </w:rPr>
              <w:t>新疆巴州且末县埃塔南路西-4丘-13号</w:t>
            </w:r>
          </w:p>
        </w:tc>
        <w:tc>
          <w:tcPr>
            <w:tcW w:w="5407" w:type="dxa"/>
            <w:gridSpan w:val="5"/>
          </w:tcPr>
          <w:p w14:paraId="65B5B887">
            <w:pPr>
              <w:pStyle w:val="9"/>
              <w:spacing w:before="16"/>
              <w:rPr>
                <w:sz w:val="20"/>
              </w:rPr>
            </w:pPr>
            <w:r>
              <w:rPr>
                <w:spacing w:val="-1"/>
                <w:sz w:val="20"/>
              </w:rPr>
              <w:t>投保人从事行业：电力、热力生产和供应业</w:t>
            </w:r>
          </w:p>
        </w:tc>
      </w:tr>
      <w:tr w14:paraId="3371D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134" w:type="dxa"/>
            <w:vMerge w:val="restart"/>
          </w:tcPr>
          <w:p w14:paraId="27337D80">
            <w:pPr>
              <w:pStyle w:val="9"/>
              <w:ind w:left="0"/>
              <w:rPr>
                <w:b/>
                <w:sz w:val="20"/>
              </w:rPr>
            </w:pPr>
          </w:p>
          <w:p w14:paraId="41CD891A">
            <w:pPr>
              <w:pStyle w:val="9"/>
              <w:spacing w:before="57"/>
              <w:ind w:left="0"/>
              <w:rPr>
                <w:b/>
                <w:sz w:val="20"/>
              </w:rPr>
            </w:pPr>
          </w:p>
          <w:p w14:paraId="1BA8D714">
            <w:pPr>
              <w:pStyle w:val="9"/>
              <w:rPr>
                <w:b/>
                <w:sz w:val="20"/>
              </w:rPr>
            </w:pPr>
            <w:r>
              <w:rPr>
                <w:b/>
                <w:spacing w:val="-4"/>
                <w:sz w:val="20"/>
              </w:rPr>
              <w:t>被保险人</w:t>
            </w:r>
          </w:p>
        </w:tc>
        <w:tc>
          <w:tcPr>
            <w:tcW w:w="4229" w:type="dxa"/>
            <w:gridSpan w:val="3"/>
          </w:tcPr>
          <w:p w14:paraId="1E06A573">
            <w:pPr>
              <w:pStyle w:val="9"/>
              <w:spacing w:before="16"/>
              <w:rPr>
                <w:sz w:val="20"/>
              </w:rPr>
            </w:pPr>
            <w:r>
              <w:rPr>
                <w:spacing w:val="-1"/>
                <w:sz w:val="20"/>
              </w:rPr>
              <w:t>名称：</w:t>
            </w:r>
            <w:r>
              <w:rPr>
                <w:rFonts w:hint="eastAsia"/>
                <w:spacing w:val="-1"/>
                <w:sz w:val="20"/>
              </w:rPr>
              <w:t>且末县通力水电有限责任公司</w:t>
            </w:r>
          </w:p>
        </w:tc>
        <w:tc>
          <w:tcPr>
            <w:tcW w:w="5407" w:type="dxa"/>
            <w:gridSpan w:val="5"/>
          </w:tcPr>
          <w:p w14:paraId="42BDAC48">
            <w:pPr>
              <w:pStyle w:val="9"/>
              <w:spacing w:before="16"/>
              <w:rPr>
                <w:sz w:val="20"/>
              </w:rPr>
            </w:pPr>
            <w:r>
              <w:rPr>
                <w:sz w:val="20"/>
              </w:rPr>
              <w:t>联系电话</w:t>
            </w:r>
            <w:r>
              <w:rPr>
                <w:spacing w:val="-2"/>
                <w:sz w:val="20"/>
              </w:rPr>
              <w:t>：18119116451</w:t>
            </w:r>
          </w:p>
        </w:tc>
      </w:tr>
      <w:tr w14:paraId="3C532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134" w:type="dxa"/>
            <w:vMerge w:val="continue"/>
            <w:tcBorders>
              <w:top w:val="nil"/>
            </w:tcBorders>
          </w:tcPr>
          <w:p w14:paraId="7638175F">
            <w:pPr>
              <w:rPr>
                <w:sz w:val="2"/>
                <w:szCs w:val="2"/>
              </w:rPr>
            </w:pPr>
          </w:p>
        </w:tc>
        <w:tc>
          <w:tcPr>
            <w:tcW w:w="4229" w:type="dxa"/>
            <w:gridSpan w:val="3"/>
          </w:tcPr>
          <w:p w14:paraId="6D0F9ADC">
            <w:pPr>
              <w:pStyle w:val="9"/>
              <w:spacing w:before="16"/>
              <w:rPr>
                <w:sz w:val="20"/>
              </w:rPr>
            </w:pPr>
            <w:r>
              <w:rPr>
                <w:sz w:val="20"/>
              </w:rPr>
              <w:t>证件号码</w:t>
            </w:r>
            <w:r>
              <w:rPr>
                <w:spacing w:val="-2"/>
                <w:sz w:val="20"/>
              </w:rPr>
              <w:t>：</w:t>
            </w:r>
            <w:r>
              <w:rPr>
                <w:rFonts w:ascii="宋体" w:hAnsi="宋体" w:eastAsia="宋体" w:cs="宋体"/>
                <w:spacing w:val="-2"/>
                <w:kern w:val="0"/>
                <w:sz w:val="20"/>
                <w:szCs w:val="22"/>
                <w:lang w:val="en-US" w:eastAsia="zh-CN" w:bidi="ar-SA"/>
              </w:rPr>
              <w:t>916528250948819870</w:t>
            </w:r>
          </w:p>
        </w:tc>
        <w:tc>
          <w:tcPr>
            <w:tcW w:w="5407" w:type="dxa"/>
            <w:gridSpan w:val="5"/>
          </w:tcPr>
          <w:p w14:paraId="0FBBB823">
            <w:pPr>
              <w:pStyle w:val="9"/>
              <w:spacing w:before="16"/>
              <w:rPr>
                <w:sz w:val="20"/>
              </w:rPr>
            </w:pPr>
            <w:r>
              <w:rPr>
                <w:spacing w:val="-2"/>
                <w:sz w:val="20"/>
              </w:rPr>
              <w:t>联系邮箱：</w:t>
            </w:r>
          </w:p>
        </w:tc>
      </w:tr>
      <w:tr w14:paraId="6F94C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trPr>
        <w:tc>
          <w:tcPr>
            <w:tcW w:w="1134" w:type="dxa"/>
            <w:vMerge w:val="continue"/>
            <w:tcBorders>
              <w:top w:val="nil"/>
            </w:tcBorders>
          </w:tcPr>
          <w:p w14:paraId="7EF2802D">
            <w:pPr>
              <w:rPr>
                <w:sz w:val="2"/>
                <w:szCs w:val="2"/>
              </w:rPr>
            </w:pPr>
          </w:p>
        </w:tc>
        <w:tc>
          <w:tcPr>
            <w:tcW w:w="4229" w:type="dxa"/>
            <w:gridSpan w:val="3"/>
          </w:tcPr>
          <w:p w14:paraId="215C6CAB">
            <w:pPr>
              <w:pStyle w:val="9"/>
              <w:spacing w:before="32" w:line="220" w:lineRule="auto"/>
              <w:ind w:right="185"/>
              <w:jc w:val="both"/>
              <w:rPr>
                <w:sz w:val="20"/>
              </w:rPr>
            </w:pPr>
            <w:r>
              <w:rPr>
                <w:spacing w:val="-2"/>
                <w:sz w:val="20"/>
              </w:rPr>
              <w:t>联系地址：</w:t>
            </w:r>
            <w:r>
              <w:rPr>
                <w:spacing w:val="-2"/>
                <w:sz w:val="20"/>
                <w:szCs w:val="20"/>
              </w:rPr>
              <w:t>新疆巴州且末县埃塔南路西-4丘-13号</w:t>
            </w:r>
          </w:p>
        </w:tc>
        <w:tc>
          <w:tcPr>
            <w:tcW w:w="5407" w:type="dxa"/>
            <w:gridSpan w:val="5"/>
          </w:tcPr>
          <w:p w14:paraId="7F44408E">
            <w:pPr>
              <w:pStyle w:val="9"/>
              <w:spacing w:before="16"/>
              <w:rPr>
                <w:sz w:val="20"/>
              </w:rPr>
            </w:pPr>
            <w:r>
              <w:rPr>
                <w:spacing w:val="-1"/>
                <w:sz w:val="20"/>
              </w:rPr>
              <w:t>被保险人从事行业：电力、热力生产和供应业</w:t>
            </w:r>
          </w:p>
        </w:tc>
      </w:tr>
      <w:tr w14:paraId="00A59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0770" w:type="dxa"/>
            <w:gridSpan w:val="9"/>
          </w:tcPr>
          <w:p w14:paraId="7420BABD">
            <w:pPr>
              <w:pStyle w:val="9"/>
              <w:spacing w:before="16"/>
              <w:rPr>
                <w:sz w:val="20"/>
              </w:rPr>
            </w:pPr>
            <w:r>
              <w:rPr>
                <w:b/>
                <w:sz w:val="20"/>
              </w:rPr>
              <w:t>是否续保：</w:t>
            </w:r>
            <w:r>
              <w:rPr>
                <w:spacing w:val="-5"/>
                <w:sz w:val="20"/>
              </w:rPr>
              <w:t>□是 ■否</w:t>
            </w:r>
          </w:p>
        </w:tc>
      </w:tr>
      <w:tr w14:paraId="50086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0770" w:type="dxa"/>
            <w:gridSpan w:val="9"/>
          </w:tcPr>
          <w:p w14:paraId="4D605C9B">
            <w:pPr>
              <w:pStyle w:val="9"/>
              <w:spacing w:before="15"/>
              <w:rPr>
                <w:b/>
                <w:sz w:val="20"/>
              </w:rPr>
            </w:pPr>
            <w:r>
              <w:rPr>
                <w:b/>
                <w:spacing w:val="-6"/>
                <w:sz w:val="20"/>
              </w:rPr>
              <w:t>标的信息</w:t>
            </w:r>
          </w:p>
        </w:tc>
      </w:tr>
      <w:tr w14:paraId="6EBCD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102CC06F">
            <w:pPr>
              <w:pStyle w:val="9"/>
              <w:spacing w:before="15"/>
              <w:rPr>
                <w:sz w:val="20"/>
              </w:rPr>
            </w:pPr>
            <w:r>
              <w:rPr>
                <w:spacing w:val="-8"/>
                <w:sz w:val="20"/>
              </w:rPr>
              <w:t>□ 财产保险项下营业中断 □机器损坏险项下营业中断</w:t>
            </w:r>
          </w:p>
        </w:tc>
        <w:tc>
          <w:tcPr>
            <w:tcW w:w="5407" w:type="dxa"/>
            <w:gridSpan w:val="5"/>
          </w:tcPr>
          <w:p w14:paraId="3D0C737C">
            <w:pPr>
              <w:pStyle w:val="9"/>
              <w:spacing w:before="15"/>
              <w:rPr>
                <w:sz w:val="20"/>
              </w:rPr>
            </w:pPr>
            <w:r>
              <w:rPr>
                <w:spacing w:val="-2"/>
                <w:sz w:val="20"/>
              </w:rPr>
              <w:t>对应物质损失保险单号：</w:t>
            </w:r>
          </w:p>
        </w:tc>
      </w:tr>
      <w:tr w14:paraId="19B07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08369534">
            <w:pPr>
              <w:pStyle w:val="9"/>
              <w:spacing w:before="15"/>
              <w:rPr>
                <w:sz w:val="20"/>
              </w:rPr>
            </w:pPr>
            <w:r>
              <w:rPr>
                <w:spacing w:val="-2"/>
                <w:sz w:val="20"/>
              </w:rPr>
              <w:t>上年度实际营业额（元）：&lt;500</w:t>
            </w:r>
            <w:r>
              <w:rPr>
                <w:spacing w:val="-10"/>
                <w:sz w:val="20"/>
              </w:rPr>
              <w:t>万</w:t>
            </w:r>
          </w:p>
        </w:tc>
        <w:tc>
          <w:tcPr>
            <w:tcW w:w="5407" w:type="dxa"/>
            <w:gridSpan w:val="5"/>
          </w:tcPr>
          <w:p w14:paraId="08ED70C1">
            <w:pPr>
              <w:pStyle w:val="9"/>
              <w:spacing w:before="15"/>
              <w:rPr>
                <w:sz w:val="20"/>
              </w:rPr>
            </w:pPr>
            <w:r>
              <w:rPr>
                <w:spacing w:val="-2"/>
                <w:sz w:val="20"/>
              </w:rPr>
              <w:t>上年度工资总额（元</w:t>
            </w:r>
            <w:r>
              <w:rPr>
                <w:spacing w:val="-5"/>
                <w:sz w:val="20"/>
              </w:rPr>
              <w:t>）：-</w:t>
            </w:r>
          </w:p>
        </w:tc>
      </w:tr>
      <w:tr w14:paraId="1ECC5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2BF3A88D">
            <w:pPr>
              <w:pStyle w:val="9"/>
              <w:spacing w:before="15"/>
              <w:rPr>
                <w:sz w:val="20"/>
              </w:rPr>
            </w:pPr>
            <w:r>
              <w:rPr>
                <w:spacing w:val="-4"/>
                <w:sz w:val="20"/>
              </w:rPr>
              <w:t>是否为租赁的厂房：□是 □否</w:t>
            </w:r>
          </w:p>
        </w:tc>
        <w:tc>
          <w:tcPr>
            <w:tcW w:w="5407" w:type="dxa"/>
            <w:gridSpan w:val="5"/>
          </w:tcPr>
          <w:p w14:paraId="29EA050B">
            <w:pPr>
              <w:pStyle w:val="9"/>
              <w:spacing w:before="15"/>
              <w:rPr>
                <w:sz w:val="20"/>
              </w:rPr>
            </w:pPr>
            <w:r>
              <w:rPr>
                <w:spacing w:val="-3"/>
                <w:sz w:val="20"/>
              </w:rPr>
              <w:t>是否为贷款投资生产的企业：□是 □否</w:t>
            </w:r>
          </w:p>
        </w:tc>
      </w:tr>
      <w:tr w14:paraId="62591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5AAA82AF">
            <w:pPr>
              <w:pStyle w:val="9"/>
              <w:spacing w:before="15"/>
              <w:rPr>
                <w:sz w:val="20"/>
              </w:rPr>
            </w:pPr>
            <w:r>
              <w:rPr>
                <w:spacing w:val="-4"/>
                <w:sz w:val="20"/>
              </w:rPr>
              <w:t>对单个供应商或客户的依赖程度：□强 □一般 □弱</w:t>
            </w:r>
          </w:p>
        </w:tc>
        <w:tc>
          <w:tcPr>
            <w:tcW w:w="5407" w:type="dxa"/>
            <w:gridSpan w:val="5"/>
          </w:tcPr>
          <w:p w14:paraId="38A0792C">
            <w:pPr>
              <w:pStyle w:val="9"/>
              <w:spacing w:before="15"/>
              <w:rPr>
                <w:sz w:val="20"/>
              </w:rPr>
            </w:pPr>
            <w:r>
              <w:rPr>
                <w:spacing w:val="-4"/>
                <w:sz w:val="20"/>
              </w:rPr>
              <w:t>水、电、气对生产的影响程度：□强 □一般 □弱</w:t>
            </w:r>
          </w:p>
        </w:tc>
      </w:tr>
      <w:tr w14:paraId="49F7B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25F9A3AE">
            <w:pPr>
              <w:pStyle w:val="9"/>
              <w:spacing w:before="15"/>
              <w:rPr>
                <w:sz w:val="20"/>
              </w:rPr>
            </w:pPr>
            <w:r>
              <w:rPr>
                <w:sz w:val="20"/>
              </w:rPr>
              <w:t>财产损失保险_</w:t>
            </w:r>
            <w:r>
              <w:rPr>
                <w:spacing w:val="-6"/>
                <w:sz w:val="20"/>
              </w:rPr>
              <w:t>火灾风险：□高 □中 □低</w:t>
            </w:r>
          </w:p>
        </w:tc>
        <w:tc>
          <w:tcPr>
            <w:tcW w:w="5407" w:type="dxa"/>
            <w:gridSpan w:val="5"/>
          </w:tcPr>
          <w:p w14:paraId="1B4AE653">
            <w:pPr>
              <w:pStyle w:val="9"/>
              <w:spacing w:before="15"/>
              <w:rPr>
                <w:sz w:val="20"/>
              </w:rPr>
            </w:pPr>
            <w:r>
              <w:rPr>
                <w:sz w:val="20"/>
              </w:rPr>
              <w:t>财产损失保险_</w:t>
            </w:r>
            <w:r>
              <w:rPr>
                <w:spacing w:val="-6"/>
                <w:sz w:val="20"/>
              </w:rPr>
              <w:t>水渍风险：□高 □中 □低</w:t>
            </w:r>
          </w:p>
        </w:tc>
      </w:tr>
      <w:tr w14:paraId="2128E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63" w:type="dxa"/>
            <w:gridSpan w:val="4"/>
          </w:tcPr>
          <w:p w14:paraId="551C425F">
            <w:pPr>
              <w:pStyle w:val="9"/>
              <w:spacing w:before="15"/>
              <w:rPr>
                <w:sz w:val="20"/>
              </w:rPr>
            </w:pPr>
            <w:r>
              <w:rPr>
                <w:spacing w:val="-4"/>
                <w:sz w:val="20"/>
              </w:rPr>
              <w:t>以往五年损失情况、赔付率及出险原因：-</w:t>
            </w:r>
          </w:p>
        </w:tc>
        <w:tc>
          <w:tcPr>
            <w:tcW w:w="5407" w:type="dxa"/>
            <w:gridSpan w:val="5"/>
          </w:tcPr>
          <w:p w14:paraId="19110CE8">
            <w:pPr>
              <w:pStyle w:val="9"/>
              <w:ind w:left="0"/>
              <w:rPr>
                <w:rFonts w:ascii="Times New Roman"/>
                <w:sz w:val="20"/>
              </w:rPr>
            </w:pPr>
          </w:p>
        </w:tc>
      </w:tr>
      <w:tr w14:paraId="42E18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355" w:type="dxa"/>
            <w:gridSpan w:val="2"/>
          </w:tcPr>
          <w:p w14:paraId="76DBD177">
            <w:pPr>
              <w:pStyle w:val="9"/>
              <w:spacing w:before="16"/>
              <w:ind w:left="278"/>
              <w:rPr>
                <w:b/>
                <w:sz w:val="20"/>
              </w:rPr>
            </w:pPr>
            <w:r>
              <w:rPr>
                <w:b/>
                <w:spacing w:val="-4"/>
                <w:sz w:val="20"/>
              </w:rPr>
              <w:t>标的编号</w:t>
            </w:r>
          </w:p>
        </w:tc>
        <w:tc>
          <w:tcPr>
            <w:tcW w:w="6083" w:type="dxa"/>
            <w:gridSpan w:val="4"/>
          </w:tcPr>
          <w:p w14:paraId="2C24A63C">
            <w:pPr>
              <w:pStyle w:val="9"/>
              <w:spacing w:before="16"/>
              <w:ind w:left="37"/>
              <w:rPr>
                <w:b/>
                <w:sz w:val="20"/>
              </w:rPr>
            </w:pPr>
            <w:r>
              <w:rPr>
                <w:b/>
                <w:spacing w:val="-4"/>
                <w:sz w:val="20"/>
              </w:rPr>
              <w:t>保险标的坐落地址</w:t>
            </w:r>
          </w:p>
        </w:tc>
        <w:tc>
          <w:tcPr>
            <w:tcW w:w="3332" w:type="dxa"/>
            <w:gridSpan w:val="3"/>
          </w:tcPr>
          <w:p w14:paraId="4D59F09D">
            <w:pPr>
              <w:pStyle w:val="9"/>
              <w:spacing w:before="25"/>
              <w:rPr>
                <w:b/>
                <w:sz w:val="19"/>
              </w:rPr>
            </w:pPr>
            <w:r>
              <w:rPr>
                <w:b/>
                <w:spacing w:val="-2"/>
                <w:sz w:val="19"/>
              </w:rPr>
              <w:t>经营项目及营业性质</w:t>
            </w:r>
          </w:p>
        </w:tc>
      </w:tr>
      <w:tr w14:paraId="5F96F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trPr>
        <w:tc>
          <w:tcPr>
            <w:tcW w:w="1355" w:type="dxa"/>
            <w:gridSpan w:val="2"/>
          </w:tcPr>
          <w:p w14:paraId="635CC796">
            <w:pPr>
              <w:pStyle w:val="9"/>
              <w:spacing w:before="25"/>
              <w:ind w:left="432"/>
              <w:rPr>
                <w:sz w:val="19"/>
              </w:rPr>
            </w:pPr>
            <w:r>
              <w:rPr>
                <w:sz w:val="19"/>
              </w:rPr>
              <w:t>标的</w:t>
            </w:r>
            <w:r>
              <w:rPr>
                <w:spacing w:val="-10"/>
                <w:sz w:val="19"/>
              </w:rPr>
              <w:t>1</w:t>
            </w:r>
          </w:p>
        </w:tc>
        <w:tc>
          <w:tcPr>
            <w:tcW w:w="6083" w:type="dxa"/>
            <w:gridSpan w:val="4"/>
          </w:tcPr>
          <w:p w14:paraId="5E20105F">
            <w:pPr>
              <w:pStyle w:val="9"/>
              <w:spacing w:before="33" w:line="230" w:lineRule="auto"/>
              <w:ind w:left="37" w:right="31"/>
              <w:rPr>
                <w:sz w:val="19"/>
              </w:rPr>
            </w:pPr>
            <w:r>
              <w:rPr>
                <w:spacing w:val="-2"/>
                <w:sz w:val="20"/>
                <w:szCs w:val="20"/>
              </w:rPr>
              <w:t>新疆巴州且末县埃塔南路西-4丘-13号</w:t>
            </w:r>
          </w:p>
        </w:tc>
        <w:tc>
          <w:tcPr>
            <w:tcW w:w="3332" w:type="dxa"/>
            <w:gridSpan w:val="3"/>
          </w:tcPr>
          <w:p w14:paraId="3FA02E5D">
            <w:pPr>
              <w:pStyle w:val="9"/>
              <w:spacing w:before="25" w:line="243" w:lineRule="exact"/>
              <w:rPr>
                <w:sz w:val="19"/>
              </w:rPr>
            </w:pPr>
            <w:r>
              <w:rPr>
                <w:spacing w:val="-1"/>
                <w:sz w:val="19"/>
              </w:rPr>
              <w:t>电力、热力、燃气及水生产和供应业</w:t>
            </w:r>
          </w:p>
          <w:p w14:paraId="2E3CCA41">
            <w:pPr>
              <w:pStyle w:val="9"/>
              <w:spacing w:before="3" w:line="230" w:lineRule="auto"/>
              <w:ind w:right="40"/>
              <w:rPr>
                <w:sz w:val="19"/>
              </w:rPr>
            </w:pPr>
            <w:r>
              <w:rPr>
                <w:spacing w:val="-2"/>
                <w:sz w:val="19"/>
              </w:rPr>
              <w:t>-电力、热力生产和供应业-电力生产-</w:t>
            </w:r>
            <w:r>
              <w:rPr>
                <w:spacing w:val="-4"/>
                <w:w w:val="105"/>
                <w:sz w:val="19"/>
              </w:rPr>
              <w:t>水力发电</w:t>
            </w:r>
          </w:p>
        </w:tc>
      </w:tr>
      <w:tr w14:paraId="3CC88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trPr>
        <w:tc>
          <w:tcPr>
            <w:tcW w:w="10770" w:type="dxa"/>
            <w:gridSpan w:val="9"/>
          </w:tcPr>
          <w:p w14:paraId="40D9A233">
            <w:pPr>
              <w:pStyle w:val="9"/>
              <w:spacing w:before="53"/>
              <w:ind w:left="7"/>
              <w:jc w:val="center"/>
              <w:rPr>
                <w:b/>
                <w:sz w:val="19"/>
              </w:rPr>
            </w:pPr>
            <w:r>
              <w:rPr>
                <w:b/>
                <w:spacing w:val="-2"/>
                <w:sz w:val="19"/>
              </w:rPr>
              <w:t>营业中断保险</w:t>
            </w:r>
          </w:p>
        </w:tc>
      </w:tr>
      <w:tr w14:paraId="40E45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355" w:type="dxa"/>
            <w:gridSpan w:val="2"/>
          </w:tcPr>
          <w:p w14:paraId="2E694C1F">
            <w:pPr>
              <w:pStyle w:val="9"/>
              <w:spacing w:before="30"/>
              <w:ind w:left="0"/>
              <w:jc w:val="center"/>
              <w:rPr>
                <w:b/>
                <w:sz w:val="18"/>
              </w:rPr>
            </w:pPr>
            <w:r>
              <w:rPr>
                <w:b/>
                <w:spacing w:val="-3"/>
                <w:sz w:val="18"/>
              </w:rPr>
              <w:t>项目编号</w:t>
            </w:r>
          </w:p>
          <w:p w14:paraId="0C787DDD">
            <w:pPr>
              <w:pStyle w:val="9"/>
              <w:spacing w:before="3"/>
              <w:ind w:left="0"/>
              <w:jc w:val="center"/>
              <w:rPr>
                <w:b/>
                <w:sz w:val="18"/>
              </w:rPr>
            </w:pPr>
            <w:r>
              <w:rPr>
                <w:b/>
                <w:spacing w:val="-4"/>
                <w:sz w:val="18"/>
              </w:rPr>
              <w:t>(对应标的编号)</w:t>
            </w:r>
          </w:p>
        </w:tc>
        <w:tc>
          <w:tcPr>
            <w:tcW w:w="2585" w:type="dxa"/>
          </w:tcPr>
          <w:p w14:paraId="77E69546">
            <w:pPr>
              <w:pStyle w:val="9"/>
              <w:spacing w:before="135"/>
              <w:ind w:left="0"/>
              <w:jc w:val="center"/>
              <w:rPr>
                <w:b/>
                <w:sz w:val="20"/>
              </w:rPr>
            </w:pPr>
            <w:r>
              <w:rPr>
                <w:b/>
                <w:spacing w:val="-4"/>
                <w:sz w:val="20"/>
              </w:rPr>
              <w:t>保险项目</w:t>
            </w:r>
          </w:p>
        </w:tc>
        <w:tc>
          <w:tcPr>
            <w:tcW w:w="2438" w:type="dxa"/>
            <w:gridSpan w:val="2"/>
          </w:tcPr>
          <w:p w14:paraId="60BA8AC4">
            <w:pPr>
              <w:pStyle w:val="9"/>
              <w:spacing w:before="135"/>
              <w:ind w:left="66"/>
              <w:rPr>
                <w:b/>
                <w:sz w:val="20"/>
              </w:rPr>
            </w:pPr>
            <w:r>
              <w:rPr>
                <w:b/>
                <w:spacing w:val="-2"/>
                <w:sz w:val="20"/>
              </w:rPr>
              <w:t>保险金额/赔偿限额（元</w:t>
            </w:r>
            <w:r>
              <w:rPr>
                <w:b/>
                <w:spacing w:val="-10"/>
                <w:sz w:val="20"/>
              </w:rPr>
              <w:t>）</w:t>
            </w:r>
          </w:p>
        </w:tc>
        <w:tc>
          <w:tcPr>
            <w:tcW w:w="1785" w:type="dxa"/>
            <w:gridSpan w:val="2"/>
          </w:tcPr>
          <w:p w14:paraId="0CD7415F">
            <w:pPr>
              <w:pStyle w:val="9"/>
              <w:spacing w:before="135"/>
              <w:ind w:left="490"/>
              <w:rPr>
                <w:b/>
                <w:sz w:val="20"/>
              </w:rPr>
            </w:pPr>
            <w:r>
              <w:rPr>
                <w:b/>
                <w:spacing w:val="-4"/>
                <w:sz w:val="20"/>
              </w:rPr>
              <w:t>赔偿期限</w:t>
            </w:r>
          </w:p>
        </w:tc>
        <w:tc>
          <w:tcPr>
            <w:tcW w:w="1156" w:type="dxa"/>
          </w:tcPr>
          <w:p w14:paraId="1579C242">
            <w:pPr>
              <w:pStyle w:val="9"/>
              <w:spacing w:before="135"/>
              <w:ind w:left="7"/>
              <w:jc w:val="center"/>
              <w:rPr>
                <w:b/>
                <w:sz w:val="20"/>
              </w:rPr>
            </w:pPr>
            <w:r>
              <w:rPr>
                <w:b/>
                <w:spacing w:val="-2"/>
                <w:sz w:val="20"/>
              </w:rPr>
              <w:t>费率</w:t>
            </w:r>
            <w:r>
              <w:rPr>
                <w:b/>
                <w:spacing w:val="-5"/>
                <w:sz w:val="20"/>
              </w:rPr>
              <w:t>（‰）</w:t>
            </w:r>
          </w:p>
        </w:tc>
        <w:tc>
          <w:tcPr>
            <w:tcW w:w="1451" w:type="dxa"/>
          </w:tcPr>
          <w:p w14:paraId="4F7A2F63">
            <w:pPr>
              <w:pStyle w:val="9"/>
              <w:spacing w:before="135"/>
              <w:ind w:left="8"/>
              <w:jc w:val="center"/>
              <w:rPr>
                <w:b/>
                <w:sz w:val="20"/>
              </w:rPr>
            </w:pPr>
            <w:r>
              <w:rPr>
                <w:b/>
                <w:spacing w:val="-2"/>
                <w:sz w:val="20"/>
              </w:rPr>
              <w:t>保险费（元</w:t>
            </w:r>
            <w:r>
              <w:rPr>
                <w:b/>
                <w:spacing w:val="-10"/>
                <w:sz w:val="20"/>
              </w:rPr>
              <w:t>）</w:t>
            </w:r>
          </w:p>
        </w:tc>
      </w:tr>
      <w:tr w14:paraId="4F9F4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355" w:type="dxa"/>
            <w:gridSpan w:val="2"/>
          </w:tcPr>
          <w:p w14:paraId="0BFC0903">
            <w:pPr>
              <w:pStyle w:val="9"/>
              <w:spacing w:before="24"/>
              <w:ind w:left="135"/>
              <w:rPr>
                <w:sz w:val="19"/>
              </w:rPr>
            </w:pPr>
            <w:r>
              <w:rPr>
                <w:sz w:val="19"/>
              </w:rPr>
              <w:t>标的1</w:t>
            </w:r>
            <w:r>
              <w:rPr>
                <w:spacing w:val="4"/>
                <w:sz w:val="19"/>
              </w:rPr>
              <w:t xml:space="preserve"> - </w:t>
            </w:r>
            <w:r>
              <w:rPr>
                <w:spacing w:val="-5"/>
                <w:sz w:val="19"/>
              </w:rPr>
              <w:t>1.1</w:t>
            </w:r>
          </w:p>
        </w:tc>
        <w:tc>
          <w:tcPr>
            <w:tcW w:w="2585" w:type="dxa"/>
          </w:tcPr>
          <w:p w14:paraId="764B2052">
            <w:pPr>
              <w:pStyle w:val="9"/>
              <w:spacing w:before="24"/>
              <w:ind w:left="0"/>
              <w:jc w:val="center"/>
              <w:rPr>
                <w:sz w:val="19"/>
              </w:rPr>
            </w:pPr>
            <w:r>
              <w:rPr>
                <w:spacing w:val="-2"/>
                <w:sz w:val="19"/>
              </w:rPr>
              <w:t>毛利润损失</w:t>
            </w:r>
          </w:p>
        </w:tc>
        <w:tc>
          <w:tcPr>
            <w:tcW w:w="2438" w:type="dxa"/>
            <w:gridSpan w:val="2"/>
          </w:tcPr>
          <w:p w14:paraId="7FA180EA">
            <w:pPr>
              <w:pStyle w:val="9"/>
              <w:spacing w:before="24"/>
              <w:ind w:left="582"/>
              <w:rPr>
                <w:sz w:val="19"/>
              </w:rPr>
            </w:pPr>
            <w:r>
              <w:rPr>
                <w:spacing w:val="-2"/>
                <w:sz w:val="19"/>
              </w:rPr>
              <w:t>CNY</w:t>
            </w:r>
            <w:r>
              <w:rPr>
                <w:rFonts w:hint="eastAsia"/>
                <w:spacing w:val="-2"/>
                <w:sz w:val="19"/>
              </w:rPr>
              <w:t>207003.64</w:t>
            </w:r>
          </w:p>
        </w:tc>
        <w:tc>
          <w:tcPr>
            <w:tcW w:w="1785" w:type="dxa"/>
            <w:gridSpan w:val="2"/>
          </w:tcPr>
          <w:p w14:paraId="0B178572">
            <w:pPr>
              <w:pStyle w:val="9"/>
              <w:spacing w:before="24"/>
              <w:ind w:left="6"/>
              <w:jc w:val="center"/>
              <w:rPr>
                <w:sz w:val="19"/>
              </w:rPr>
            </w:pPr>
            <w:r>
              <w:rPr>
                <w:rFonts w:hint="eastAsia"/>
                <w:spacing w:val="-10"/>
                <w:sz w:val="19"/>
                <w:lang w:val="en-US" w:eastAsia="zh-CN"/>
              </w:rPr>
              <w:t>12</w:t>
            </w:r>
            <w:r>
              <w:rPr>
                <w:spacing w:val="-10"/>
                <w:sz w:val="19"/>
              </w:rPr>
              <w:t>月</w:t>
            </w:r>
          </w:p>
        </w:tc>
        <w:tc>
          <w:tcPr>
            <w:tcW w:w="1156" w:type="dxa"/>
          </w:tcPr>
          <w:p w14:paraId="51046BDF">
            <w:pPr>
              <w:pStyle w:val="9"/>
              <w:spacing w:before="24"/>
              <w:ind w:left="7"/>
              <w:jc w:val="center"/>
              <w:rPr>
                <w:sz w:val="19"/>
              </w:rPr>
            </w:pPr>
            <w:r>
              <w:rPr>
                <w:spacing w:val="-5"/>
                <w:sz w:val="19"/>
              </w:rPr>
              <w:t>10</w:t>
            </w:r>
          </w:p>
        </w:tc>
        <w:tc>
          <w:tcPr>
            <w:tcW w:w="1451" w:type="dxa"/>
          </w:tcPr>
          <w:p w14:paraId="07669FA5">
            <w:pPr>
              <w:pStyle w:val="9"/>
              <w:spacing w:before="24"/>
              <w:ind w:left="8"/>
              <w:jc w:val="center"/>
              <w:rPr>
                <w:rFonts w:hint="default" w:eastAsia="宋体"/>
                <w:sz w:val="19"/>
                <w:lang w:val="en-US" w:eastAsia="zh-CN"/>
              </w:rPr>
            </w:pPr>
            <w:r>
              <w:rPr>
                <w:spacing w:val="-2"/>
                <w:sz w:val="19"/>
              </w:rPr>
              <w:t>CNY</w:t>
            </w:r>
            <w:r>
              <w:rPr>
                <w:rFonts w:hint="eastAsia"/>
                <w:spacing w:val="-2"/>
                <w:sz w:val="19"/>
                <w:lang w:val="en-US" w:eastAsia="zh-CN"/>
              </w:rPr>
              <w:t>2070.04</w:t>
            </w:r>
          </w:p>
        </w:tc>
      </w:tr>
      <w:tr w14:paraId="5185F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0770" w:type="dxa"/>
            <w:gridSpan w:val="9"/>
          </w:tcPr>
          <w:p w14:paraId="7CA6DC98">
            <w:pPr>
              <w:pStyle w:val="9"/>
              <w:spacing w:before="16"/>
              <w:rPr>
                <w:b/>
                <w:sz w:val="20"/>
              </w:rPr>
            </w:pPr>
            <w:r>
              <w:rPr>
                <w:b/>
                <w:spacing w:val="-4"/>
                <w:sz w:val="20"/>
              </w:rPr>
              <w:t>附加险条款</w:t>
            </w:r>
          </w:p>
        </w:tc>
      </w:tr>
      <w:tr w14:paraId="137F9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atLeast"/>
        </w:trPr>
        <w:tc>
          <w:tcPr>
            <w:tcW w:w="10770" w:type="dxa"/>
            <w:gridSpan w:val="9"/>
          </w:tcPr>
          <w:p w14:paraId="5D866710">
            <w:pPr>
              <w:pStyle w:val="9"/>
              <w:spacing w:before="67"/>
              <w:rPr>
                <w:b/>
                <w:sz w:val="20"/>
              </w:rPr>
            </w:pPr>
            <w:r>
              <w:rPr>
                <w:b/>
                <w:spacing w:val="-4"/>
                <w:sz w:val="20"/>
              </w:rPr>
              <w:t>免赔条件：</w:t>
            </w:r>
          </w:p>
          <w:p w14:paraId="4FA21B7D">
            <w:pPr>
              <w:pStyle w:val="9"/>
              <w:spacing w:before="85" w:line="255" w:lineRule="exact"/>
              <w:rPr>
                <w:b/>
                <w:sz w:val="20"/>
              </w:rPr>
            </w:pPr>
            <w:r>
              <w:rPr>
                <w:b/>
                <w:spacing w:val="-4"/>
                <w:sz w:val="20"/>
              </w:rPr>
              <w:t>1.每次事故免赔期限为3</w:t>
            </w:r>
            <w:r>
              <w:rPr>
                <w:b/>
                <w:spacing w:val="-7"/>
                <w:sz w:val="20"/>
              </w:rPr>
              <w:t>天。</w:t>
            </w:r>
          </w:p>
        </w:tc>
      </w:tr>
      <w:tr w14:paraId="50D43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5" w:hRule="atLeast"/>
        </w:trPr>
        <w:tc>
          <w:tcPr>
            <w:tcW w:w="1355" w:type="dxa"/>
            <w:gridSpan w:val="2"/>
            <w:tcBorders>
              <w:right w:val="nil"/>
            </w:tcBorders>
          </w:tcPr>
          <w:p w14:paraId="05400587">
            <w:pPr>
              <w:pStyle w:val="9"/>
              <w:spacing w:before="58"/>
              <w:rPr>
                <w:b/>
                <w:sz w:val="20"/>
              </w:rPr>
            </w:pPr>
            <w:r>
              <w:rPr>
                <w:b/>
                <w:spacing w:val="-4"/>
                <w:sz w:val="20"/>
              </w:rPr>
              <w:t>保险金额</w:t>
            </w:r>
          </w:p>
          <w:p w14:paraId="6C9E6A7D">
            <w:pPr>
              <w:pStyle w:val="9"/>
              <w:spacing w:before="78"/>
              <w:rPr>
                <w:sz w:val="20"/>
              </w:rPr>
            </w:pPr>
            <w:r>
              <w:rPr>
                <w:spacing w:val="-4"/>
                <w:sz w:val="20"/>
              </w:rPr>
              <w:t>合计：</w:t>
            </w:r>
          </w:p>
        </w:tc>
        <w:tc>
          <w:tcPr>
            <w:tcW w:w="6083" w:type="dxa"/>
            <w:gridSpan w:val="4"/>
            <w:tcBorders>
              <w:left w:val="nil"/>
              <w:right w:val="nil"/>
            </w:tcBorders>
          </w:tcPr>
          <w:p w14:paraId="117000A3">
            <w:pPr>
              <w:pStyle w:val="9"/>
              <w:spacing w:before="136"/>
              <w:ind w:left="0"/>
              <w:rPr>
                <w:b/>
                <w:sz w:val="20"/>
              </w:rPr>
            </w:pPr>
          </w:p>
          <w:p w14:paraId="379A5C5C">
            <w:pPr>
              <w:pStyle w:val="9"/>
              <w:ind w:left="575"/>
              <w:rPr>
                <w:rFonts w:hint="eastAsia" w:eastAsia="宋体"/>
                <w:sz w:val="20"/>
                <w:lang w:eastAsia="zh-CN"/>
              </w:rPr>
            </w:pPr>
            <w:r>
              <w:rPr>
                <w:sz w:val="20"/>
              </w:rPr>
              <w:t>（大写）</w:t>
            </w:r>
            <w:r>
              <w:rPr>
                <w:spacing w:val="-1"/>
                <w:sz w:val="20"/>
              </w:rPr>
              <w:t xml:space="preserve">人民币 </w:t>
            </w:r>
            <w:r>
              <w:rPr>
                <w:rFonts w:hint="eastAsia"/>
                <w:spacing w:val="-1"/>
                <w:sz w:val="20"/>
                <w:lang w:eastAsia="zh-CN"/>
              </w:rPr>
              <w:t>贰拾万柒仟零叁元陆角肆分</w:t>
            </w:r>
          </w:p>
        </w:tc>
        <w:tc>
          <w:tcPr>
            <w:tcW w:w="3332" w:type="dxa"/>
            <w:gridSpan w:val="3"/>
            <w:tcBorders>
              <w:left w:val="nil"/>
            </w:tcBorders>
          </w:tcPr>
          <w:p w14:paraId="0BFDC11A">
            <w:pPr>
              <w:pStyle w:val="9"/>
              <w:spacing w:before="136"/>
              <w:ind w:left="0"/>
              <w:rPr>
                <w:b/>
                <w:sz w:val="20"/>
              </w:rPr>
            </w:pPr>
          </w:p>
          <w:p w14:paraId="66F18ABF">
            <w:pPr>
              <w:pStyle w:val="9"/>
              <w:ind w:left="609"/>
              <w:rPr>
                <w:sz w:val="20"/>
              </w:rPr>
            </w:pPr>
            <w:r>
              <w:rPr>
                <w:sz w:val="20"/>
              </w:rPr>
              <w:t xml:space="preserve">（小写）CNY </w:t>
            </w:r>
            <w:r>
              <w:rPr>
                <w:rFonts w:hint="eastAsia"/>
                <w:spacing w:val="-2"/>
                <w:sz w:val="19"/>
              </w:rPr>
              <w:t>207003.64</w:t>
            </w:r>
          </w:p>
        </w:tc>
      </w:tr>
      <w:tr w14:paraId="37AF4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1355" w:type="dxa"/>
            <w:gridSpan w:val="2"/>
            <w:tcBorders>
              <w:right w:val="nil"/>
            </w:tcBorders>
          </w:tcPr>
          <w:p w14:paraId="1A908D56">
            <w:pPr>
              <w:pStyle w:val="9"/>
              <w:spacing w:before="58"/>
              <w:rPr>
                <w:b/>
                <w:sz w:val="20"/>
              </w:rPr>
            </w:pPr>
            <w:r>
              <w:rPr>
                <w:b/>
                <w:spacing w:val="-5"/>
                <w:sz w:val="20"/>
              </w:rPr>
              <w:t>保险费</w:t>
            </w:r>
          </w:p>
          <w:p w14:paraId="3DA4AE9E">
            <w:pPr>
              <w:pStyle w:val="9"/>
              <w:spacing w:before="78"/>
              <w:rPr>
                <w:sz w:val="20"/>
              </w:rPr>
            </w:pPr>
            <w:r>
              <w:rPr>
                <w:spacing w:val="-2"/>
                <w:sz w:val="20"/>
              </w:rPr>
              <w:t>保险费合计：</w:t>
            </w:r>
          </w:p>
        </w:tc>
        <w:tc>
          <w:tcPr>
            <w:tcW w:w="6083" w:type="dxa"/>
            <w:gridSpan w:val="4"/>
            <w:tcBorders>
              <w:left w:val="nil"/>
              <w:right w:val="nil"/>
            </w:tcBorders>
          </w:tcPr>
          <w:p w14:paraId="293BACF4">
            <w:pPr>
              <w:pStyle w:val="9"/>
              <w:spacing w:before="105"/>
              <w:ind w:left="0"/>
              <w:rPr>
                <w:b/>
                <w:sz w:val="20"/>
              </w:rPr>
            </w:pPr>
          </w:p>
          <w:p w14:paraId="57D43957">
            <w:pPr>
              <w:pStyle w:val="9"/>
              <w:spacing w:line="290" w:lineRule="atLeast"/>
              <w:ind w:left="575" w:right="1805"/>
              <w:rPr>
                <w:rFonts w:hint="eastAsia"/>
                <w:spacing w:val="-5"/>
                <w:sz w:val="20"/>
                <w:lang w:val="en-US" w:eastAsia="zh-CN"/>
              </w:rPr>
            </w:pPr>
            <w:r>
              <w:rPr>
                <w:sz w:val="20"/>
              </w:rPr>
              <w:t>（大写）</w:t>
            </w:r>
            <w:r>
              <w:rPr>
                <w:spacing w:val="-5"/>
                <w:sz w:val="20"/>
              </w:rPr>
              <w:t xml:space="preserve">人民币 </w:t>
            </w:r>
            <w:r>
              <w:rPr>
                <w:rFonts w:hint="eastAsia"/>
                <w:spacing w:val="-5"/>
                <w:sz w:val="20"/>
                <w:lang w:eastAsia="zh-CN"/>
              </w:rPr>
              <w:t>贰仟零柒拾元整</w:t>
            </w:r>
            <w:r>
              <w:rPr>
                <w:rFonts w:hint="eastAsia"/>
                <w:spacing w:val="-5"/>
                <w:sz w:val="20"/>
                <w:lang w:val="en-US" w:eastAsia="zh-CN"/>
              </w:rPr>
              <w:t xml:space="preserve">    </w:t>
            </w:r>
          </w:p>
          <w:p w14:paraId="5201202B">
            <w:pPr>
              <w:pStyle w:val="9"/>
              <w:spacing w:line="290" w:lineRule="atLeast"/>
              <w:ind w:left="575" w:right="1805"/>
              <w:rPr>
                <w:rFonts w:hint="default" w:eastAsia="宋体"/>
                <w:sz w:val="20"/>
                <w:lang w:val="en-US" w:eastAsia="zh-CN"/>
              </w:rPr>
            </w:pPr>
            <w:r>
              <w:rPr>
                <w:sz w:val="20"/>
              </w:rPr>
              <w:t xml:space="preserve">其中不含税保险费：CNY </w:t>
            </w:r>
            <w:r>
              <w:rPr>
                <w:rFonts w:hint="eastAsia"/>
                <w:sz w:val="20"/>
                <w:lang w:val="en-US" w:eastAsia="zh-CN"/>
              </w:rPr>
              <w:t>1971.73</w:t>
            </w:r>
          </w:p>
        </w:tc>
        <w:tc>
          <w:tcPr>
            <w:tcW w:w="3332" w:type="dxa"/>
            <w:gridSpan w:val="3"/>
            <w:tcBorders>
              <w:left w:val="nil"/>
            </w:tcBorders>
          </w:tcPr>
          <w:p w14:paraId="12E2FF45">
            <w:pPr>
              <w:pStyle w:val="9"/>
              <w:spacing w:before="136"/>
              <w:ind w:left="0"/>
              <w:rPr>
                <w:b/>
                <w:sz w:val="20"/>
              </w:rPr>
            </w:pPr>
          </w:p>
          <w:p w14:paraId="0EC7AD62">
            <w:pPr>
              <w:pStyle w:val="9"/>
              <w:ind w:left="609"/>
              <w:rPr>
                <w:sz w:val="20"/>
              </w:rPr>
            </w:pPr>
            <w:r>
              <w:rPr>
                <w:sz w:val="20"/>
              </w:rPr>
              <w:t xml:space="preserve">（小写）CNY </w:t>
            </w:r>
            <w:r>
              <w:rPr>
                <w:rFonts w:hint="eastAsia"/>
                <w:spacing w:val="-2"/>
                <w:sz w:val="19"/>
                <w:lang w:val="en-US" w:eastAsia="zh-CN"/>
              </w:rPr>
              <w:t>2070.04</w:t>
            </w:r>
          </w:p>
          <w:p w14:paraId="391B1681">
            <w:pPr>
              <w:pStyle w:val="9"/>
              <w:spacing w:before="35" w:line="254" w:lineRule="exact"/>
              <w:ind w:left="609"/>
              <w:rPr>
                <w:rFonts w:hint="default" w:eastAsia="宋体"/>
                <w:sz w:val="20"/>
                <w:lang w:val="en-US" w:eastAsia="zh-CN"/>
              </w:rPr>
            </w:pPr>
            <w:r>
              <w:rPr>
                <w:sz w:val="20"/>
              </w:rPr>
              <w:t xml:space="preserve">增值税：CNY </w:t>
            </w:r>
            <w:r>
              <w:rPr>
                <w:rFonts w:hint="eastAsia"/>
                <w:spacing w:val="-2"/>
                <w:sz w:val="20"/>
                <w:lang w:val="en-US" w:eastAsia="zh-CN"/>
              </w:rPr>
              <w:t>98.30</w:t>
            </w:r>
          </w:p>
        </w:tc>
      </w:tr>
      <w:tr w14:paraId="09DF6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0770" w:type="dxa"/>
            <w:gridSpan w:val="9"/>
          </w:tcPr>
          <w:p w14:paraId="51678DAF">
            <w:pPr>
              <w:pStyle w:val="9"/>
              <w:spacing w:before="16"/>
              <w:rPr>
                <w:sz w:val="20"/>
              </w:rPr>
            </w:pPr>
            <w:r>
              <w:rPr>
                <w:b/>
                <w:spacing w:val="-2"/>
                <w:sz w:val="20"/>
              </w:rPr>
              <w:t>保险期间：</w:t>
            </w:r>
            <w:r>
              <w:rPr>
                <w:spacing w:val="-2"/>
                <w:sz w:val="20"/>
              </w:rPr>
              <w:t>自2026</w:t>
            </w:r>
            <w:r>
              <w:rPr>
                <w:rFonts w:hint="eastAsia"/>
                <w:spacing w:val="-2"/>
                <w:sz w:val="20"/>
                <w:lang w:val="en-US" w:eastAsia="zh-CN"/>
              </w:rPr>
              <w:t xml:space="preserve"> </w:t>
            </w:r>
            <w:r>
              <w:rPr>
                <w:spacing w:val="-2"/>
                <w:sz w:val="20"/>
              </w:rPr>
              <w:t>年</w:t>
            </w:r>
            <w:r>
              <w:rPr>
                <w:rFonts w:hint="eastAsia"/>
                <w:spacing w:val="-2"/>
                <w:sz w:val="20"/>
                <w:lang w:val="en-US" w:eastAsia="zh-CN"/>
              </w:rPr>
              <w:t xml:space="preserve">     </w:t>
            </w:r>
            <w:r>
              <w:rPr>
                <w:spacing w:val="-2"/>
                <w:sz w:val="20"/>
              </w:rPr>
              <w:t>月</w:t>
            </w:r>
            <w:r>
              <w:rPr>
                <w:rFonts w:hint="eastAsia"/>
                <w:spacing w:val="-2"/>
                <w:sz w:val="20"/>
                <w:lang w:val="en-US" w:eastAsia="zh-CN"/>
              </w:rPr>
              <w:t xml:space="preserve">   </w:t>
            </w:r>
            <w:r>
              <w:rPr>
                <w:spacing w:val="-2"/>
                <w:sz w:val="20"/>
              </w:rPr>
              <w:t>日00:00:00起至2027年</w:t>
            </w:r>
            <w:r>
              <w:rPr>
                <w:rFonts w:hint="eastAsia"/>
                <w:spacing w:val="-2"/>
                <w:sz w:val="20"/>
                <w:lang w:val="en-US" w:eastAsia="zh-CN"/>
              </w:rPr>
              <w:t xml:space="preserve">     </w:t>
            </w:r>
            <w:r>
              <w:rPr>
                <w:spacing w:val="-2"/>
                <w:sz w:val="20"/>
              </w:rPr>
              <w:t>月</w:t>
            </w:r>
            <w:r>
              <w:rPr>
                <w:rFonts w:hint="eastAsia"/>
                <w:spacing w:val="-2"/>
                <w:sz w:val="20"/>
                <w:lang w:val="en-US" w:eastAsia="zh-CN"/>
              </w:rPr>
              <w:t xml:space="preserve">     </w:t>
            </w:r>
            <w:r>
              <w:rPr>
                <w:spacing w:val="-2"/>
                <w:sz w:val="20"/>
              </w:rPr>
              <w:t>日23:59:59止，共365</w:t>
            </w:r>
            <w:r>
              <w:rPr>
                <w:spacing w:val="-6"/>
                <w:sz w:val="20"/>
              </w:rPr>
              <w:t>天。</w:t>
            </w:r>
          </w:p>
          <w:p w14:paraId="75F35AC2">
            <w:pPr>
              <w:pStyle w:val="9"/>
              <w:tabs>
                <w:tab w:val="left" w:pos="4131"/>
              </w:tabs>
              <w:spacing w:before="35"/>
              <w:rPr>
                <w:b/>
                <w:sz w:val="20"/>
              </w:rPr>
            </w:pPr>
            <w:r>
              <w:rPr>
                <w:b/>
                <w:sz w:val="20"/>
              </w:rPr>
              <w:t>（保险单是否立即生效：</w:t>
            </w:r>
            <w:r>
              <w:rPr>
                <w:sz w:val="20"/>
              </w:rPr>
              <w:t>■否</w:t>
            </w:r>
            <w:r>
              <w:rPr>
                <w:spacing w:val="78"/>
                <w:sz w:val="20"/>
              </w:rPr>
              <w:t xml:space="preserve"> </w:t>
            </w:r>
            <w:r>
              <w:rPr>
                <w:sz w:val="20"/>
              </w:rPr>
              <w:t>□</w:t>
            </w:r>
            <w:r>
              <w:rPr>
                <w:spacing w:val="-10"/>
                <w:sz w:val="20"/>
              </w:rPr>
              <w:t>是</w:t>
            </w:r>
            <w:r>
              <w:rPr>
                <w:sz w:val="20"/>
              </w:rPr>
              <w:tab/>
            </w:r>
            <w:r>
              <w:rPr>
                <w:sz w:val="20"/>
              </w:rPr>
              <w:t>保险起止期具体时分秒以实际保单为准</w:t>
            </w:r>
            <w:r>
              <w:rPr>
                <w:b/>
                <w:spacing w:val="-10"/>
                <w:sz w:val="20"/>
              </w:rPr>
              <w:t>）</w:t>
            </w:r>
          </w:p>
        </w:tc>
      </w:tr>
      <w:tr w14:paraId="4E192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9" w:hRule="atLeast"/>
        </w:trPr>
        <w:tc>
          <w:tcPr>
            <w:tcW w:w="10770" w:type="dxa"/>
            <w:gridSpan w:val="9"/>
            <w:tcBorders>
              <w:bottom w:val="nil"/>
            </w:tcBorders>
          </w:tcPr>
          <w:p w14:paraId="54357C4A">
            <w:pPr>
              <w:pStyle w:val="9"/>
              <w:spacing w:before="58"/>
              <w:rPr>
                <w:b/>
                <w:sz w:val="20"/>
              </w:rPr>
            </w:pPr>
            <w:r>
              <w:rPr>
                <w:b/>
                <w:spacing w:val="-4"/>
                <w:sz w:val="20"/>
              </w:rPr>
              <w:t>特别约定</w:t>
            </w:r>
          </w:p>
          <w:p w14:paraId="4E830426">
            <w:pPr>
              <w:pStyle w:val="9"/>
              <w:spacing w:before="77" w:line="249" w:lineRule="exact"/>
              <w:rPr>
                <w:b/>
                <w:sz w:val="20"/>
              </w:rPr>
            </w:pPr>
            <w:r>
              <w:rPr>
                <w:b/>
                <w:spacing w:val="-4"/>
                <w:sz w:val="20"/>
              </w:rPr>
              <w:t>1、本保单适用主险条款为：《中华联合财产保险股份有限公司营业中断保险（2025版）</w:t>
            </w:r>
            <w:r>
              <w:rPr>
                <w:b/>
                <w:spacing w:val="-7"/>
                <w:sz w:val="20"/>
              </w:rPr>
              <w:t>》。</w:t>
            </w:r>
          </w:p>
          <w:p w14:paraId="4778CB1C">
            <w:pPr>
              <w:pStyle w:val="9"/>
              <w:spacing w:line="238" w:lineRule="exact"/>
              <w:rPr>
                <w:b/>
                <w:sz w:val="20"/>
              </w:rPr>
            </w:pPr>
            <w:r>
              <w:rPr>
                <w:b/>
                <w:spacing w:val="-4"/>
                <w:sz w:val="20"/>
              </w:rPr>
              <w:t>2</w:t>
            </w:r>
            <w:r>
              <w:rPr>
                <w:b/>
                <w:spacing w:val="-5"/>
                <w:sz w:val="20"/>
              </w:rPr>
              <w:t>、本保险合同争议解决方式为：诉讼。</w:t>
            </w:r>
          </w:p>
          <w:p w14:paraId="3978A944">
            <w:pPr>
              <w:pStyle w:val="9"/>
              <w:spacing w:line="238" w:lineRule="exact"/>
              <w:ind w:right="111"/>
              <w:jc w:val="both"/>
              <w:rPr>
                <w:b/>
                <w:sz w:val="20"/>
              </w:rPr>
            </w:pPr>
            <w:r>
              <w:rPr>
                <w:b/>
                <w:spacing w:val="-2"/>
                <w:sz w:val="20"/>
              </w:rPr>
              <w:t>3、（1）经双方协商同意，当发生保险事故时，投保人或被保险人必须在出险后48小时内向保险公司全国客服热线95585报案，对超过48小时才报案的，造成损失无法确定或损失扩大部分，保险公司不负赔偿责任。（2）为确保客户权益得到充分</w:t>
            </w:r>
            <w:r>
              <w:rPr>
                <w:b/>
                <w:spacing w:val="-4"/>
                <w:sz w:val="20"/>
              </w:rPr>
              <w:t>保障，我司提供以下服务及纠纷解决渠道：①全国统一服务专线：95585（24小时受理报案、咨询、投诉等业务）；②</w:t>
            </w:r>
            <w:r>
              <w:rPr>
                <w:b/>
                <w:spacing w:val="-7"/>
                <w:sz w:val="20"/>
              </w:rPr>
              <w:t>总公</w:t>
            </w:r>
          </w:p>
        </w:tc>
      </w:tr>
    </w:tbl>
    <w:p w14:paraId="03169EC9">
      <w:pPr>
        <w:spacing w:after="0"/>
        <w:jc w:val="center"/>
        <w:rPr>
          <w:sz w:val="20"/>
        </w:rPr>
        <w:sectPr>
          <w:type w:val="continuous"/>
          <w:pgSz w:w="11910" w:h="16840"/>
          <w:pgMar w:top="620" w:right="425" w:bottom="0" w:left="425" w:header="720" w:footer="720" w:gutter="0"/>
          <w:cols w:space="720" w:num="1"/>
        </w:sectPr>
      </w:pPr>
      <w:bookmarkStart w:id="0" w:name="_GoBack"/>
      <w:bookmarkEnd w:id="0"/>
    </w:p>
    <w:p w14:paraId="062D504B">
      <w:pPr>
        <w:pStyle w:val="3"/>
        <w:ind w:left="2478"/>
        <w:rPr>
          <w:sz w:val="20"/>
        </w:rPr>
      </w:pPr>
      <w:r>
        <w:rPr>
          <w:sz w:val="20"/>
        </w:rPr>
        <w:drawing>
          <wp:inline distT="0" distB="0" distL="0" distR="0">
            <wp:extent cx="3863975" cy="452120"/>
            <wp:effectExtent l="0" t="0" r="0" b="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3864530" cy="452627"/>
                    </a:xfrm>
                    <a:prstGeom prst="rect">
                      <a:avLst/>
                    </a:prstGeom>
                  </pic:spPr>
                </pic:pic>
              </a:graphicData>
            </a:graphic>
          </wp:inline>
        </w:drawing>
      </w:r>
    </w:p>
    <w:p w14:paraId="4F69DA64">
      <w:pPr>
        <w:pStyle w:val="2"/>
      </w:pPr>
      <w:r>
        <w:rPr>
          <w:spacing w:val="-4"/>
        </w:rPr>
        <w:t>营业中断保险（2025版）</w:t>
      </w:r>
      <w:r>
        <w:rPr>
          <w:spacing w:val="-7"/>
        </w:rPr>
        <w:t>投保单</w:t>
      </w:r>
    </w:p>
    <w:p w14:paraId="29EA9D29">
      <w:pPr>
        <w:spacing w:before="145"/>
        <w:ind w:left="0" w:right="179" w:firstLine="0"/>
        <w:jc w:val="right"/>
        <w:rPr>
          <w:sz w:val="20"/>
        </w:rPr>
      </w:pPr>
      <w:r>
        <w:rPr>
          <w:b/>
          <w:spacing w:val="-2"/>
          <w:sz w:val="20"/>
        </w:rPr>
        <w:t>No.</w:t>
      </w:r>
      <w:r>
        <w:rPr>
          <w:spacing w:val="-2"/>
          <w:sz w:val="20"/>
        </w:rPr>
        <w:t>A2605079650400180000000003</w:t>
      </w:r>
    </w:p>
    <w:p w14:paraId="3FC83F54">
      <w:pPr>
        <w:pStyle w:val="3"/>
        <w:spacing w:before="8"/>
        <w:ind w:left="0"/>
        <w:rPr>
          <w:sz w:val="3"/>
        </w:rPr>
      </w:pPr>
      <w:r>
        <w:rPr>
          <w:sz w:val="3"/>
        </w:rPr>
        <mc:AlternateContent>
          <mc:Choice Requires="wps">
            <w:drawing>
              <wp:anchor distT="0" distB="0" distL="0" distR="0" simplePos="0" relativeHeight="251659264" behindDoc="1" locked="0" layoutInCell="1" allowOverlap="1">
                <wp:simplePos x="0" y="0"/>
                <wp:positionH relativeFrom="page">
                  <wp:posOffset>359410</wp:posOffset>
                </wp:positionH>
                <wp:positionV relativeFrom="paragraph">
                  <wp:posOffset>44450</wp:posOffset>
                </wp:positionV>
                <wp:extent cx="6833235" cy="1270"/>
                <wp:effectExtent l="0" t="0" r="0" b="0"/>
                <wp:wrapTopAndBottom/>
                <wp:docPr id="6" name="Graphic 6"/>
                <wp:cNvGraphicFramePr/>
                <a:graphic xmlns:a="http://schemas.openxmlformats.org/drawingml/2006/main">
                  <a:graphicData uri="http://schemas.microsoft.com/office/word/2010/wordprocessingShape">
                    <wps:wsp>
                      <wps:cNvSpPr/>
                      <wps:spPr>
                        <a:xfrm>
                          <a:off x="0" y="0"/>
                          <a:ext cx="6833234" cy="1270"/>
                        </a:xfrm>
                        <a:custGeom>
                          <a:avLst/>
                          <a:gdLst/>
                          <a:ahLst/>
                          <a:cxnLst/>
                          <a:rect l="l" t="t" r="r" b="b"/>
                          <a:pathLst>
                            <a:path w="6833234">
                              <a:moveTo>
                                <a:pt x="0" y="0"/>
                              </a:moveTo>
                              <a:lnTo>
                                <a:pt x="6832790" y="0"/>
                              </a:lnTo>
                            </a:path>
                          </a:pathLst>
                        </a:custGeom>
                        <a:ln w="28790">
                          <a:solidFill>
                            <a:srgbClr val="FF0505"/>
                          </a:solidFill>
                          <a:prstDash val="solid"/>
                        </a:ln>
                      </wps:spPr>
                      <wps:bodyPr wrap="square" lIns="0" tIns="0" rIns="0" bIns="0" rtlCol="0">
                        <a:noAutofit/>
                      </wps:bodyPr>
                    </wps:wsp>
                  </a:graphicData>
                </a:graphic>
              </wp:anchor>
            </w:drawing>
          </mc:Choice>
          <mc:Fallback>
            <w:pict>
              <v:shape id="Graphic 6" o:spid="_x0000_s1026" o:spt="100" style="position:absolute;left:0pt;margin-left:28.3pt;margin-top:3.5pt;height:0.1pt;width:538.05pt;mso-position-horizontal-relative:page;mso-wrap-distance-bottom:0pt;mso-wrap-distance-top:0pt;z-index:-251657216;mso-width-relative:page;mso-height-relative:page;" filled="f" stroked="t" coordsize="6833234,1" o:gfxdata="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2VMIx9cAAAAHAQAADwAA&#10;AAAAAAABACAAAAAiAAAAZHJzL2Rvd25yZXYueG1sUEsBAhQAFAAAAAgAh07iQP9vWIcXAgAAewQA&#10;AA4AAAAAAAAAAQAgAAAAJgEAAGRycy9lMm9Eb2MueG1sUEsFBgAAAAAGAAYAWQEAAK8FAAAAAA==&#10;" path="m0,0l6832790,0e">
                <v:fill on="f" focussize="0,0"/>
                <v:stroke weight="2.26692913385827pt" color="#FF0505" joinstyle="round"/>
                <v:imagedata o:title=""/>
                <o:lock v:ext="edit" aspectratio="f"/>
                <v:textbox inset="0mm,0mm,0mm,0mm"/>
                <w10:wrap type="topAndBottom"/>
              </v:shape>
            </w:pict>
          </mc:Fallback>
        </mc:AlternateContent>
      </w:r>
    </w:p>
    <w:p w14:paraId="07738BBC">
      <w:pPr>
        <w:pStyle w:val="3"/>
        <w:spacing w:before="9"/>
        <w:ind w:left="0"/>
        <w:rPr>
          <w:sz w:val="3"/>
        </w:rPr>
      </w:pPr>
    </w:p>
    <w:tbl>
      <w:tblPr>
        <w:tblStyle w:val="5"/>
        <w:tblW w:w="0" w:type="auto"/>
        <w:tblInd w:w="149" w:type="dxa"/>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Layout w:type="fixed"/>
        <w:tblCellMar>
          <w:top w:w="0" w:type="dxa"/>
          <w:left w:w="0" w:type="dxa"/>
          <w:bottom w:w="0" w:type="dxa"/>
          <w:right w:w="0" w:type="dxa"/>
        </w:tblCellMar>
      </w:tblPr>
      <w:tblGrid>
        <w:gridCol w:w="1264"/>
        <w:gridCol w:w="1281"/>
        <w:gridCol w:w="2496"/>
        <w:gridCol w:w="230"/>
        <w:gridCol w:w="1880"/>
        <w:gridCol w:w="835"/>
        <w:gridCol w:w="1415"/>
        <w:gridCol w:w="1363"/>
      </w:tblGrid>
      <w:tr w14:paraId="01A81BA2">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1735" w:hRule="atLeast"/>
        </w:trPr>
        <w:tc>
          <w:tcPr>
            <w:tcW w:w="10764" w:type="dxa"/>
            <w:gridSpan w:val="8"/>
            <w:tcBorders>
              <w:left w:val="single" w:color="000000" w:sz="4" w:space="0"/>
              <w:bottom w:val="single" w:color="000000" w:sz="4" w:space="0"/>
              <w:right w:val="single" w:color="000000" w:sz="4" w:space="0"/>
            </w:tcBorders>
          </w:tcPr>
          <w:p w14:paraId="3FF3B685">
            <w:pPr>
              <w:pStyle w:val="9"/>
              <w:spacing w:before="43" w:line="220" w:lineRule="auto"/>
              <w:ind w:right="204"/>
              <w:rPr>
                <w:b/>
                <w:spacing w:val="-2"/>
                <w:sz w:val="20"/>
              </w:rPr>
            </w:pPr>
            <w:r>
              <w:rPr>
                <w:b/>
                <w:spacing w:val="-2"/>
                <w:sz w:val="20"/>
              </w:rPr>
              <w:t>司服务监督热线：010-83328484（24小时受理）；如您对投诉处理结果存在异议，可通过申请核查、调解、仲裁、诉讼等救济途径推动纠纷解决</w:t>
            </w:r>
          </w:p>
          <w:p w14:paraId="4C4C72FD">
            <w:pPr>
              <w:pStyle w:val="9"/>
              <w:spacing w:before="43" w:line="220" w:lineRule="auto"/>
              <w:ind w:right="204"/>
              <w:rPr>
                <w:b/>
                <w:sz w:val="20"/>
              </w:rPr>
            </w:pPr>
            <w:r>
              <w:rPr>
                <w:b/>
                <w:spacing w:val="-2"/>
                <w:sz w:val="20"/>
              </w:rPr>
              <w:t>4、本保单保险标的地址：</w:t>
            </w:r>
            <w:r>
              <w:rPr>
                <w:rFonts w:hint="eastAsia"/>
                <w:b/>
                <w:spacing w:val="-2"/>
                <w:sz w:val="20"/>
              </w:rPr>
              <w:t>新疆巴州且末县埃塔南路西-4丘-13号</w:t>
            </w:r>
          </w:p>
          <w:p w14:paraId="17F6C4E4">
            <w:pPr>
              <w:pStyle w:val="9"/>
              <w:spacing w:line="228" w:lineRule="exact"/>
              <w:rPr>
                <w:b/>
                <w:sz w:val="20"/>
              </w:rPr>
            </w:pPr>
            <w:r>
              <w:rPr>
                <w:b/>
                <w:spacing w:val="-4"/>
                <w:sz w:val="20"/>
              </w:rPr>
              <w:t>5、</w:t>
            </w:r>
            <w:r>
              <w:rPr>
                <w:rFonts w:hint="eastAsia"/>
                <w:b/>
                <w:spacing w:val="-5"/>
                <w:sz w:val="20"/>
              </w:rPr>
              <w:t>本保单第一受益人：且末县通力水电有限责任公司</w:t>
            </w:r>
          </w:p>
        </w:tc>
      </w:tr>
      <w:tr w14:paraId="15A6A8FC">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381" w:hRule="atLeast"/>
        </w:trPr>
        <w:tc>
          <w:tcPr>
            <w:tcW w:w="10764" w:type="dxa"/>
            <w:gridSpan w:val="8"/>
            <w:tcBorders>
              <w:top w:val="single" w:color="000000" w:sz="4" w:space="0"/>
              <w:left w:val="single" w:color="000000" w:sz="4" w:space="0"/>
              <w:bottom w:val="single" w:color="000000" w:sz="4" w:space="0"/>
              <w:right w:val="single" w:color="000000" w:sz="4" w:space="0"/>
            </w:tcBorders>
          </w:tcPr>
          <w:p w14:paraId="77F80090">
            <w:pPr>
              <w:pStyle w:val="9"/>
              <w:spacing w:before="58"/>
              <w:rPr>
                <w:b/>
                <w:sz w:val="20"/>
              </w:rPr>
            </w:pPr>
            <w:r>
              <w:rPr>
                <w:b/>
                <w:spacing w:val="-4"/>
                <w:sz w:val="20"/>
              </w:rPr>
              <w:t>缴费约定</w:t>
            </w:r>
          </w:p>
        </w:tc>
      </w:tr>
      <w:tr w14:paraId="128D5835">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296" w:hRule="atLeast"/>
        </w:trPr>
        <w:tc>
          <w:tcPr>
            <w:tcW w:w="1264" w:type="dxa"/>
            <w:tcBorders>
              <w:top w:val="single" w:color="000000" w:sz="4" w:space="0"/>
              <w:left w:val="single" w:color="000000" w:sz="4" w:space="0"/>
              <w:bottom w:val="single" w:color="000000" w:sz="4" w:space="0"/>
              <w:right w:val="single" w:color="000000" w:sz="4" w:space="0"/>
            </w:tcBorders>
          </w:tcPr>
          <w:p w14:paraId="3613366F">
            <w:pPr>
              <w:pStyle w:val="9"/>
              <w:spacing w:before="16"/>
              <w:ind w:left="5"/>
              <w:jc w:val="center"/>
              <w:rPr>
                <w:sz w:val="20"/>
              </w:rPr>
            </w:pPr>
            <w:r>
              <w:rPr>
                <w:spacing w:val="-5"/>
                <w:sz w:val="20"/>
              </w:rPr>
              <w:t>期数</w:t>
            </w:r>
          </w:p>
        </w:tc>
        <w:tc>
          <w:tcPr>
            <w:tcW w:w="1281" w:type="dxa"/>
            <w:tcBorders>
              <w:top w:val="single" w:color="000000" w:sz="4" w:space="0"/>
              <w:left w:val="single" w:color="000000" w:sz="4" w:space="0"/>
              <w:bottom w:val="single" w:color="000000" w:sz="4" w:space="0"/>
              <w:right w:val="single" w:color="000000" w:sz="4" w:space="0"/>
            </w:tcBorders>
          </w:tcPr>
          <w:p w14:paraId="6BB50AA1">
            <w:pPr>
              <w:pStyle w:val="9"/>
              <w:spacing w:before="16"/>
              <w:ind w:left="6"/>
              <w:jc w:val="center"/>
              <w:rPr>
                <w:sz w:val="20"/>
              </w:rPr>
            </w:pPr>
            <w:r>
              <w:rPr>
                <w:spacing w:val="-5"/>
                <w:sz w:val="20"/>
              </w:rPr>
              <w:t>币种</w:t>
            </w:r>
          </w:p>
        </w:tc>
        <w:tc>
          <w:tcPr>
            <w:tcW w:w="2726" w:type="dxa"/>
            <w:gridSpan w:val="2"/>
            <w:tcBorders>
              <w:top w:val="single" w:color="000000" w:sz="4" w:space="0"/>
              <w:left w:val="single" w:color="000000" w:sz="4" w:space="0"/>
              <w:bottom w:val="single" w:color="000000" w:sz="4" w:space="0"/>
              <w:right w:val="single" w:color="000000" w:sz="4" w:space="0"/>
            </w:tcBorders>
          </w:tcPr>
          <w:p w14:paraId="55D927F1">
            <w:pPr>
              <w:pStyle w:val="9"/>
              <w:spacing w:before="16"/>
              <w:ind w:left="661"/>
              <w:rPr>
                <w:sz w:val="20"/>
              </w:rPr>
            </w:pPr>
            <w:r>
              <w:rPr>
                <w:sz w:val="20"/>
              </w:rPr>
              <w:t>缴费金额（元</w:t>
            </w:r>
            <w:r>
              <w:rPr>
                <w:spacing w:val="-10"/>
                <w:sz w:val="20"/>
              </w:rPr>
              <w:t>）</w:t>
            </w:r>
          </w:p>
        </w:tc>
        <w:tc>
          <w:tcPr>
            <w:tcW w:w="2715" w:type="dxa"/>
            <w:gridSpan w:val="2"/>
            <w:tcBorders>
              <w:top w:val="single" w:color="000000" w:sz="4" w:space="0"/>
              <w:left w:val="single" w:color="000000" w:sz="4" w:space="0"/>
              <w:bottom w:val="single" w:color="000000" w:sz="4" w:space="0"/>
              <w:right w:val="single" w:color="000000" w:sz="4" w:space="0"/>
            </w:tcBorders>
          </w:tcPr>
          <w:p w14:paraId="6593E494">
            <w:pPr>
              <w:pStyle w:val="9"/>
              <w:spacing w:before="16"/>
              <w:ind w:left="9"/>
              <w:jc w:val="center"/>
              <w:rPr>
                <w:sz w:val="20"/>
              </w:rPr>
            </w:pPr>
            <w:r>
              <w:rPr>
                <w:spacing w:val="-3"/>
                <w:sz w:val="20"/>
              </w:rPr>
              <w:t>缴费比例</w:t>
            </w:r>
          </w:p>
        </w:tc>
        <w:tc>
          <w:tcPr>
            <w:tcW w:w="2778" w:type="dxa"/>
            <w:gridSpan w:val="2"/>
            <w:tcBorders>
              <w:top w:val="single" w:color="000000" w:sz="4" w:space="0"/>
              <w:left w:val="single" w:color="000000" w:sz="4" w:space="0"/>
              <w:bottom w:val="single" w:color="000000" w:sz="4" w:space="0"/>
              <w:right w:val="single" w:color="000000" w:sz="4" w:space="0"/>
            </w:tcBorders>
          </w:tcPr>
          <w:p w14:paraId="681F0A01">
            <w:pPr>
              <w:pStyle w:val="9"/>
              <w:spacing w:before="16"/>
              <w:ind w:left="788"/>
              <w:rPr>
                <w:sz w:val="20"/>
              </w:rPr>
            </w:pPr>
            <w:r>
              <w:rPr>
                <w:spacing w:val="-2"/>
                <w:sz w:val="20"/>
              </w:rPr>
              <w:t>最迟缴费日期</w:t>
            </w:r>
          </w:p>
        </w:tc>
      </w:tr>
      <w:tr w14:paraId="23072322">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296" w:hRule="atLeast"/>
        </w:trPr>
        <w:tc>
          <w:tcPr>
            <w:tcW w:w="1264" w:type="dxa"/>
            <w:tcBorders>
              <w:top w:val="single" w:color="000000" w:sz="4" w:space="0"/>
              <w:left w:val="single" w:color="000000" w:sz="4" w:space="0"/>
              <w:bottom w:val="single" w:color="000000" w:sz="4" w:space="0"/>
              <w:right w:val="single" w:color="000000" w:sz="4" w:space="0"/>
            </w:tcBorders>
          </w:tcPr>
          <w:p w14:paraId="611CA1D7">
            <w:pPr>
              <w:pStyle w:val="9"/>
              <w:spacing w:before="15"/>
              <w:ind w:left="5"/>
              <w:jc w:val="center"/>
              <w:rPr>
                <w:sz w:val="20"/>
              </w:rPr>
            </w:pPr>
            <w:r>
              <w:rPr>
                <w:spacing w:val="-10"/>
                <w:sz w:val="20"/>
              </w:rPr>
              <w:t>1</w:t>
            </w:r>
          </w:p>
        </w:tc>
        <w:tc>
          <w:tcPr>
            <w:tcW w:w="1281" w:type="dxa"/>
            <w:tcBorders>
              <w:top w:val="single" w:color="000000" w:sz="4" w:space="0"/>
              <w:left w:val="single" w:color="000000" w:sz="4" w:space="0"/>
              <w:bottom w:val="single" w:color="000000" w:sz="4" w:space="0"/>
              <w:right w:val="single" w:color="000000" w:sz="4" w:space="0"/>
            </w:tcBorders>
          </w:tcPr>
          <w:p w14:paraId="1ABB9139">
            <w:pPr>
              <w:pStyle w:val="9"/>
              <w:spacing w:before="15"/>
              <w:ind w:left="6"/>
              <w:jc w:val="center"/>
              <w:rPr>
                <w:sz w:val="20"/>
              </w:rPr>
            </w:pPr>
            <w:r>
              <w:rPr>
                <w:spacing w:val="-5"/>
                <w:sz w:val="20"/>
              </w:rPr>
              <w:t>人民币</w:t>
            </w:r>
          </w:p>
        </w:tc>
        <w:tc>
          <w:tcPr>
            <w:tcW w:w="2726" w:type="dxa"/>
            <w:gridSpan w:val="2"/>
            <w:tcBorders>
              <w:top w:val="single" w:color="000000" w:sz="4" w:space="0"/>
              <w:left w:val="single" w:color="000000" w:sz="4" w:space="0"/>
              <w:bottom w:val="single" w:color="000000" w:sz="4" w:space="0"/>
              <w:right w:val="single" w:color="000000" w:sz="4" w:space="0"/>
            </w:tcBorders>
          </w:tcPr>
          <w:p w14:paraId="06A7B8E5">
            <w:pPr>
              <w:pStyle w:val="9"/>
              <w:spacing w:before="15"/>
              <w:ind w:left="7"/>
              <w:jc w:val="center"/>
              <w:rPr>
                <w:sz w:val="20"/>
              </w:rPr>
            </w:pPr>
            <w:r>
              <w:rPr>
                <w:rFonts w:hint="eastAsia"/>
                <w:spacing w:val="-2"/>
                <w:sz w:val="19"/>
                <w:lang w:val="en-US" w:eastAsia="zh-CN"/>
              </w:rPr>
              <w:t>2070.04</w:t>
            </w:r>
          </w:p>
        </w:tc>
        <w:tc>
          <w:tcPr>
            <w:tcW w:w="2715" w:type="dxa"/>
            <w:gridSpan w:val="2"/>
            <w:tcBorders>
              <w:top w:val="single" w:color="000000" w:sz="4" w:space="0"/>
              <w:left w:val="single" w:color="000000" w:sz="4" w:space="0"/>
              <w:bottom w:val="single" w:color="000000" w:sz="4" w:space="0"/>
              <w:right w:val="single" w:color="000000" w:sz="4" w:space="0"/>
            </w:tcBorders>
          </w:tcPr>
          <w:p w14:paraId="59E1101F">
            <w:pPr>
              <w:pStyle w:val="9"/>
              <w:spacing w:before="15"/>
              <w:ind w:left="9"/>
              <w:jc w:val="center"/>
              <w:rPr>
                <w:sz w:val="20"/>
              </w:rPr>
            </w:pPr>
            <w:r>
              <w:rPr>
                <w:spacing w:val="-4"/>
                <w:sz w:val="20"/>
              </w:rPr>
              <w:t>100%</w:t>
            </w:r>
          </w:p>
        </w:tc>
        <w:tc>
          <w:tcPr>
            <w:tcW w:w="2778" w:type="dxa"/>
            <w:gridSpan w:val="2"/>
            <w:tcBorders>
              <w:top w:val="single" w:color="000000" w:sz="4" w:space="0"/>
              <w:left w:val="single" w:color="000000" w:sz="4" w:space="0"/>
              <w:bottom w:val="single" w:color="000000" w:sz="4" w:space="0"/>
              <w:right w:val="single" w:color="000000" w:sz="4" w:space="0"/>
            </w:tcBorders>
          </w:tcPr>
          <w:p w14:paraId="1CE17712">
            <w:pPr>
              <w:pStyle w:val="9"/>
              <w:spacing w:before="15"/>
              <w:ind w:left="743"/>
              <w:rPr>
                <w:sz w:val="20"/>
              </w:rPr>
            </w:pPr>
            <w:r>
              <w:rPr>
                <w:spacing w:val="-2"/>
                <w:sz w:val="20"/>
              </w:rPr>
              <w:t>2026年3月16</w:t>
            </w:r>
            <w:r>
              <w:rPr>
                <w:spacing w:val="-10"/>
                <w:sz w:val="20"/>
              </w:rPr>
              <w:t>日</w:t>
            </w:r>
          </w:p>
        </w:tc>
      </w:tr>
      <w:tr w14:paraId="0418C044">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885" w:hRule="atLeast"/>
        </w:trPr>
        <w:tc>
          <w:tcPr>
            <w:tcW w:w="5041" w:type="dxa"/>
            <w:gridSpan w:val="3"/>
            <w:tcBorders>
              <w:top w:val="single" w:color="000000" w:sz="4" w:space="0"/>
              <w:left w:val="single" w:color="000000" w:sz="4" w:space="0"/>
              <w:bottom w:val="single" w:color="000000" w:sz="4" w:space="0"/>
              <w:right w:val="nil"/>
            </w:tcBorders>
          </w:tcPr>
          <w:p w14:paraId="537B69A6">
            <w:pPr>
              <w:pStyle w:val="9"/>
              <w:tabs>
                <w:tab w:val="left" w:pos="2782"/>
                <w:tab w:val="left" w:pos="4356"/>
              </w:tabs>
              <w:spacing w:before="16"/>
              <w:rPr>
                <w:sz w:val="19"/>
              </w:rPr>
            </w:pPr>
            <w:r>
              <w:rPr>
                <w:b/>
                <w:spacing w:val="-2"/>
                <w:sz w:val="20"/>
              </w:rPr>
              <w:t>合同争议解决方式：</w:t>
            </w:r>
            <w:r>
              <w:rPr>
                <w:b/>
                <w:spacing w:val="-21"/>
                <w:sz w:val="20"/>
              </w:rPr>
              <w:t xml:space="preserve"> </w:t>
            </w:r>
            <w:r>
              <w:rPr>
                <w:spacing w:val="-2"/>
                <w:sz w:val="19"/>
              </w:rPr>
              <w:t>■诉</w:t>
            </w:r>
            <w:r>
              <w:rPr>
                <w:spacing w:val="-10"/>
                <w:sz w:val="19"/>
              </w:rPr>
              <w:t>讼</w:t>
            </w:r>
            <w:r>
              <w:rPr>
                <w:sz w:val="19"/>
              </w:rPr>
              <w:tab/>
            </w:r>
            <w:r>
              <w:rPr>
                <w:sz w:val="19"/>
              </w:rPr>
              <w:t>□提</w:t>
            </w:r>
            <w:r>
              <w:rPr>
                <w:spacing w:val="-10"/>
                <w:sz w:val="19"/>
              </w:rPr>
              <w:t>交</w:t>
            </w:r>
            <w:r>
              <w:rPr>
                <w:rFonts w:ascii="Times New Roman" w:hAnsi="Times New Roman" w:eastAsia="Times New Roman"/>
                <w:sz w:val="19"/>
                <w:u w:val="single"/>
              </w:rPr>
              <w:tab/>
            </w:r>
            <w:r>
              <w:rPr>
                <w:sz w:val="19"/>
                <w:u w:val="none"/>
              </w:rPr>
              <w:t>仲裁</w:t>
            </w:r>
            <w:r>
              <w:rPr>
                <w:spacing w:val="-10"/>
                <w:sz w:val="19"/>
                <w:u w:val="none"/>
              </w:rPr>
              <w:t>。</w:t>
            </w:r>
          </w:p>
          <w:p w14:paraId="616587EC">
            <w:pPr>
              <w:pStyle w:val="9"/>
              <w:spacing w:before="35"/>
              <w:rPr>
                <w:sz w:val="20"/>
              </w:rPr>
            </w:pPr>
            <w:r>
              <w:rPr>
                <w:b/>
                <w:spacing w:val="-2"/>
                <w:sz w:val="20"/>
              </w:rPr>
              <w:t>司法管辖：</w:t>
            </w:r>
            <w:r>
              <w:rPr>
                <w:spacing w:val="-2"/>
                <w:sz w:val="20"/>
              </w:rPr>
              <w:t>中国境内（港、澳、台除外</w:t>
            </w:r>
            <w:r>
              <w:rPr>
                <w:spacing w:val="-10"/>
                <w:sz w:val="20"/>
              </w:rPr>
              <w:t>）</w:t>
            </w:r>
          </w:p>
          <w:p w14:paraId="47C4ECC3">
            <w:pPr>
              <w:pStyle w:val="9"/>
              <w:spacing w:before="34"/>
              <w:rPr>
                <w:sz w:val="20"/>
              </w:rPr>
            </w:pPr>
            <w:r>
              <w:rPr>
                <w:b/>
                <w:spacing w:val="-2"/>
                <w:sz w:val="20"/>
              </w:rPr>
              <w:t>有无就本投保标的向其他保险公司投保相同保险？</w:t>
            </w:r>
            <w:r>
              <w:rPr>
                <w:spacing w:val="-6"/>
                <w:sz w:val="20"/>
              </w:rPr>
              <w:t>□无</w:t>
            </w:r>
          </w:p>
        </w:tc>
        <w:tc>
          <w:tcPr>
            <w:tcW w:w="2110" w:type="dxa"/>
            <w:gridSpan w:val="2"/>
            <w:tcBorders>
              <w:top w:val="single" w:color="000000" w:sz="4" w:space="0"/>
              <w:left w:val="nil"/>
              <w:bottom w:val="single" w:color="000000" w:sz="4" w:space="0"/>
              <w:right w:val="nil"/>
            </w:tcBorders>
          </w:tcPr>
          <w:p w14:paraId="461D8993">
            <w:pPr>
              <w:pStyle w:val="9"/>
              <w:ind w:left="0"/>
              <w:rPr>
                <w:sz w:val="20"/>
              </w:rPr>
            </w:pPr>
          </w:p>
          <w:p w14:paraId="0C98252C">
            <w:pPr>
              <w:pStyle w:val="9"/>
              <w:spacing w:before="85"/>
              <w:ind w:left="0"/>
              <w:rPr>
                <w:sz w:val="20"/>
              </w:rPr>
            </w:pPr>
          </w:p>
          <w:p w14:paraId="5E6AD761">
            <w:pPr>
              <w:pStyle w:val="9"/>
              <w:ind w:left="95"/>
              <w:rPr>
                <w:sz w:val="20"/>
              </w:rPr>
            </w:pPr>
            <w:r>
              <w:rPr>
                <w:sz w:val="20"/>
              </w:rPr>
              <w:t>□有（</w:t>
            </w:r>
            <w:r>
              <w:rPr>
                <w:spacing w:val="-2"/>
                <w:sz w:val="20"/>
              </w:rPr>
              <w:t>保险公司名称：</w:t>
            </w:r>
          </w:p>
        </w:tc>
        <w:tc>
          <w:tcPr>
            <w:tcW w:w="2250" w:type="dxa"/>
            <w:gridSpan w:val="2"/>
            <w:tcBorders>
              <w:top w:val="single" w:color="000000" w:sz="4" w:space="0"/>
              <w:left w:val="nil"/>
              <w:bottom w:val="single" w:color="000000" w:sz="4" w:space="0"/>
              <w:right w:val="nil"/>
            </w:tcBorders>
          </w:tcPr>
          <w:p w14:paraId="5ACB895F">
            <w:pPr>
              <w:pStyle w:val="9"/>
              <w:ind w:left="0"/>
              <w:rPr>
                <w:rFonts w:ascii="Times New Roman"/>
                <w:sz w:val="20"/>
              </w:rPr>
            </w:pPr>
          </w:p>
        </w:tc>
        <w:tc>
          <w:tcPr>
            <w:tcW w:w="1363" w:type="dxa"/>
            <w:tcBorders>
              <w:top w:val="single" w:color="000000" w:sz="4" w:space="0"/>
              <w:left w:val="nil"/>
              <w:bottom w:val="single" w:color="000000" w:sz="4" w:space="0"/>
              <w:right w:val="single" w:color="000000" w:sz="4" w:space="0"/>
            </w:tcBorders>
          </w:tcPr>
          <w:p w14:paraId="06AD556C">
            <w:pPr>
              <w:pStyle w:val="9"/>
              <w:ind w:left="0"/>
              <w:rPr>
                <w:sz w:val="20"/>
              </w:rPr>
            </w:pPr>
          </w:p>
          <w:p w14:paraId="69515800">
            <w:pPr>
              <w:pStyle w:val="9"/>
              <w:spacing w:before="85"/>
              <w:ind w:left="0"/>
              <w:rPr>
                <w:sz w:val="20"/>
              </w:rPr>
            </w:pPr>
          </w:p>
          <w:p w14:paraId="35715288">
            <w:pPr>
              <w:pStyle w:val="9"/>
              <w:ind w:left="0" w:right="120"/>
              <w:jc w:val="right"/>
              <w:rPr>
                <w:sz w:val="20"/>
              </w:rPr>
            </w:pPr>
            <w:r>
              <w:rPr>
                <w:spacing w:val="-10"/>
                <w:sz w:val="20"/>
              </w:rPr>
              <w:t>）</w:t>
            </w:r>
          </w:p>
        </w:tc>
      </w:tr>
      <w:tr w14:paraId="4C4E62AB">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1676" w:hRule="atLeast"/>
        </w:trPr>
        <w:tc>
          <w:tcPr>
            <w:tcW w:w="10764" w:type="dxa"/>
            <w:gridSpan w:val="8"/>
            <w:tcBorders>
              <w:top w:val="single" w:color="000000" w:sz="4" w:space="0"/>
              <w:left w:val="single" w:color="000000" w:sz="4" w:space="0"/>
              <w:bottom w:val="single" w:color="000000" w:sz="4" w:space="0"/>
              <w:right w:val="single" w:color="000000" w:sz="4" w:space="0"/>
            </w:tcBorders>
          </w:tcPr>
          <w:p w14:paraId="02E93F1F">
            <w:pPr>
              <w:pStyle w:val="9"/>
              <w:spacing w:before="49" w:line="261" w:lineRule="auto"/>
              <w:ind w:right="120"/>
              <w:jc w:val="both"/>
              <w:rPr>
                <w:b/>
                <w:sz w:val="20"/>
              </w:rPr>
            </w:pPr>
            <w:r>
              <w:rPr>
                <w:b/>
                <w:spacing w:val="-2"/>
                <w:sz w:val="20"/>
              </w:rPr>
              <w:t>投保人声明：保险人已向本人详细介绍并提供了投保险种所适用的条款，并对其中免除保险人责任的条款（包括但不限于责任免除、免赔率与免赔额、投保人与被保险人义务、赔偿处理、通用条款等），以及本保险合同中缴费约定与特别约定的内容及其法律后果向本人作了明确说明，本人已充分理解并接受上述内容。</w:t>
            </w:r>
          </w:p>
          <w:p w14:paraId="28A05DD8">
            <w:pPr>
              <w:pStyle w:val="9"/>
              <w:spacing w:before="73"/>
              <w:ind w:left="7290"/>
              <w:rPr>
                <w:b/>
                <w:sz w:val="20"/>
              </w:rPr>
            </w:pPr>
            <w:r>
              <w:rPr>
                <w:b/>
                <w:spacing w:val="-4"/>
                <w:sz w:val="20"/>
              </w:rPr>
              <w:t>投保人签章：</w:t>
            </w:r>
          </w:p>
          <w:p w14:paraId="103E8EFA">
            <w:pPr>
              <w:pStyle w:val="9"/>
              <w:tabs>
                <w:tab w:val="left" w:pos="8357"/>
                <w:tab w:val="left" w:pos="8857"/>
              </w:tabs>
              <w:spacing w:before="117"/>
              <w:ind w:left="7857"/>
              <w:rPr>
                <w:sz w:val="20"/>
              </w:rPr>
            </w:pPr>
            <w:r>
              <w:rPr>
                <w:spacing w:val="-10"/>
                <w:sz w:val="20"/>
              </w:rPr>
              <w:t>年</w:t>
            </w:r>
            <w:r>
              <w:rPr>
                <w:sz w:val="20"/>
              </w:rPr>
              <w:tab/>
            </w:r>
            <w:r>
              <w:rPr>
                <w:spacing w:val="-10"/>
                <w:sz w:val="20"/>
              </w:rPr>
              <w:t>月</w:t>
            </w:r>
            <w:r>
              <w:rPr>
                <w:sz w:val="20"/>
              </w:rPr>
              <w:tab/>
            </w:r>
            <w:r>
              <w:rPr>
                <w:spacing w:val="-10"/>
                <w:sz w:val="20"/>
              </w:rPr>
              <w:t>日</w:t>
            </w:r>
          </w:p>
        </w:tc>
      </w:tr>
      <w:tr w14:paraId="5B2D48E4">
        <w:tblPrEx>
          <w:tblBorders>
            <w:top w:val="single" w:color="FF0505" w:sz="4" w:space="0"/>
            <w:left w:val="single" w:color="FF0505" w:sz="4" w:space="0"/>
            <w:bottom w:val="single" w:color="FF0505" w:sz="4" w:space="0"/>
            <w:right w:val="single" w:color="FF0505" w:sz="4" w:space="0"/>
            <w:insideH w:val="single" w:color="FF0505" w:sz="4" w:space="0"/>
            <w:insideV w:val="single" w:color="FF0505" w:sz="4" w:space="0"/>
          </w:tblBorders>
          <w:tblCellMar>
            <w:top w:w="0" w:type="dxa"/>
            <w:left w:w="0" w:type="dxa"/>
            <w:bottom w:w="0" w:type="dxa"/>
            <w:right w:w="0" w:type="dxa"/>
          </w:tblCellMar>
        </w:tblPrEx>
        <w:trPr>
          <w:trHeight w:val="982" w:hRule="atLeast"/>
        </w:trPr>
        <w:tc>
          <w:tcPr>
            <w:tcW w:w="5041" w:type="dxa"/>
            <w:gridSpan w:val="3"/>
            <w:tcBorders>
              <w:top w:val="single" w:color="000000" w:sz="4" w:space="0"/>
              <w:left w:val="single" w:color="000000" w:sz="4" w:space="0"/>
              <w:bottom w:val="single" w:color="000000" w:sz="4" w:space="0"/>
              <w:right w:val="nil"/>
            </w:tcBorders>
          </w:tcPr>
          <w:p w14:paraId="606C6980">
            <w:pPr>
              <w:pStyle w:val="9"/>
              <w:spacing w:before="10"/>
              <w:rPr>
                <w:sz w:val="20"/>
              </w:rPr>
            </w:pPr>
            <w:r>
              <w:rPr>
                <w:spacing w:val="-2"/>
                <w:sz w:val="20"/>
              </w:rPr>
              <w:t>复核意见：</w:t>
            </w:r>
          </w:p>
          <w:p w14:paraId="39A88172">
            <w:pPr>
              <w:pStyle w:val="9"/>
              <w:spacing w:before="172"/>
              <w:ind w:left="0"/>
              <w:rPr>
                <w:sz w:val="20"/>
              </w:rPr>
            </w:pPr>
          </w:p>
          <w:p w14:paraId="3C34AEBA">
            <w:pPr>
              <w:pStyle w:val="9"/>
              <w:ind w:left="0" w:right="236"/>
              <w:jc w:val="right"/>
              <w:rPr>
                <w:sz w:val="20"/>
              </w:rPr>
            </w:pPr>
            <w:r>
              <w:rPr>
                <w:spacing w:val="-2"/>
                <w:sz w:val="20"/>
              </w:rPr>
              <w:t>经办人签章：</w:t>
            </w:r>
          </w:p>
        </w:tc>
        <w:tc>
          <w:tcPr>
            <w:tcW w:w="2110" w:type="dxa"/>
            <w:gridSpan w:val="2"/>
            <w:tcBorders>
              <w:top w:val="single" w:color="000000" w:sz="4" w:space="0"/>
              <w:left w:val="nil"/>
              <w:bottom w:val="single" w:color="000000" w:sz="4" w:space="0"/>
              <w:right w:val="nil"/>
            </w:tcBorders>
          </w:tcPr>
          <w:p w14:paraId="63EFBE41">
            <w:pPr>
              <w:pStyle w:val="9"/>
              <w:ind w:left="0"/>
              <w:rPr>
                <w:rFonts w:ascii="Times New Roman"/>
                <w:sz w:val="20"/>
              </w:rPr>
            </w:pPr>
          </w:p>
        </w:tc>
        <w:tc>
          <w:tcPr>
            <w:tcW w:w="2250" w:type="dxa"/>
            <w:gridSpan w:val="2"/>
            <w:tcBorders>
              <w:top w:val="single" w:color="000000" w:sz="4" w:space="0"/>
              <w:left w:val="nil"/>
              <w:bottom w:val="single" w:color="000000" w:sz="4" w:space="0"/>
              <w:right w:val="nil"/>
            </w:tcBorders>
          </w:tcPr>
          <w:p w14:paraId="36EF2123">
            <w:pPr>
              <w:pStyle w:val="9"/>
              <w:ind w:left="0"/>
              <w:rPr>
                <w:sz w:val="20"/>
              </w:rPr>
            </w:pPr>
          </w:p>
          <w:p w14:paraId="4DCD8C87">
            <w:pPr>
              <w:pStyle w:val="9"/>
              <w:spacing w:before="182"/>
              <w:ind w:left="0"/>
              <w:rPr>
                <w:sz w:val="20"/>
              </w:rPr>
            </w:pPr>
          </w:p>
          <w:p w14:paraId="4A3F2537">
            <w:pPr>
              <w:pStyle w:val="9"/>
              <w:ind w:left="23"/>
              <w:rPr>
                <w:sz w:val="20"/>
              </w:rPr>
            </w:pPr>
            <w:r>
              <w:rPr>
                <w:spacing w:val="-2"/>
                <w:sz w:val="20"/>
              </w:rPr>
              <w:t>复核人签章：</w:t>
            </w:r>
          </w:p>
        </w:tc>
        <w:tc>
          <w:tcPr>
            <w:tcW w:w="1363" w:type="dxa"/>
            <w:tcBorders>
              <w:top w:val="single" w:color="000000" w:sz="4" w:space="0"/>
              <w:left w:val="nil"/>
              <w:bottom w:val="single" w:color="000000" w:sz="4" w:space="0"/>
              <w:right w:val="single" w:color="000000" w:sz="4" w:space="0"/>
            </w:tcBorders>
          </w:tcPr>
          <w:p w14:paraId="4A07038D">
            <w:pPr>
              <w:pStyle w:val="9"/>
              <w:ind w:left="0"/>
              <w:rPr>
                <w:rFonts w:ascii="Times New Roman"/>
                <w:sz w:val="20"/>
              </w:rPr>
            </w:pPr>
          </w:p>
        </w:tc>
      </w:tr>
    </w:tbl>
    <w:p w14:paraId="4EF8159D">
      <w:pPr>
        <w:spacing w:before="11" w:line="249" w:lineRule="exact"/>
        <w:ind w:left="170" w:right="0" w:firstLine="0"/>
        <w:jc w:val="left"/>
        <w:rPr>
          <w:b/>
          <w:sz w:val="20"/>
        </w:rPr>
      </w:pPr>
      <w:r>
        <w:rPr>
          <w:b/>
          <w:spacing w:val="6"/>
          <w:sz w:val="20"/>
        </w:rPr>
        <w:t xml:space="preserve">重要提示： </w:t>
      </w:r>
      <w:r>
        <w:rPr>
          <w:b/>
          <w:sz w:val="20"/>
        </w:rPr>
        <w:t>1</w:t>
      </w:r>
      <w:r>
        <w:rPr>
          <w:b/>
          <w:spacing w:val="-1"/>
          <w:sz w:val="20"/>
        </w:rPr>
        <w:t>、如发现错误，请及时更正。</w:t>
      </w:r>
    </w:p>
    <w:p w14:paraId="2ABDDF67">
      <w:pPr>
        <w:spacing w:before="5" w:line="220" w:lineRule="auto"/>
        <w:ind w:left="1343" w:right="3009" w:firstLine="0"/>
        <w:jc w:val="left"/>
        <w:rPr>
          <w:b/>
          <w:sz w:val="20"/>
        </w:rPr>
      </w:pPr>
      <w:r>
        <w:rPr>
          <w:b/>
          <w:spacing w:val="-2"/>
          <w:sz w:val="20"/>
        </w:rPr>
        <w:t xml:space="preserve">2、公司最近季度的综合偿付能力充足率、分类监管评级信息，请在公司网站 </w:t>
      </w:r>
      <w:r>
        <w:fldChar w:fldCharType="begin"/>
      </w:r>
      <w:r>
        <w:instrText xml:space="preserve"> HYPERLINK "http://property.cic.cn/payInfo/index.jhtml" \h </w:instrText>
      </w:r>
      <w:r>
        <w:fldChar w:fldCharType="separate"/>
      </w:r>
      <w:r>
        <w:rPr>
          <w:b/>
          <w:sz w:val="20"/>
        </w:rPr>
        <w:t>http://property.cic.cn/payInfo/index.jhtml</w:t>
      </w:r>
      <w:r>
        <w:rPr>
          <w:b/>
          <w:sz w:val="20"/>
        </w:rPr>
        <w:fldChar w:fldCharType="end"/>
      </w:r>
      <w:r>
        <w:rPr>
          <w:b/>
          <w:sz w:val="20"/>
        </w:rPr>
        <w:t xml:space="preserve"> 中进行查看。</w:t>
      </w:r>
    </w:p>
    <w:p w14:paraId="230EC1C8">
      <w:pPr>
        <w:spacing w:before="90"/>
        <w:ind w:left="170" w:right="0" w:firstLine="0"/>
        <w:jc w:val="left"/>
        <w:rPr>
          <w:b/>
          <w:sz w:val="20"/>
        </w:rPr>
      </w:pPr>
      <w:r>
        <w:rPr>
          <w:b/>
          <w:spacing w:val="-2"/>
          <w:sz w:val="20"/>
        </w:rPr>
        <w:t>尊敬的客户：在保险单生效后，您可以通过拨打95585</w:t>
      </w:r>
      <w:r>
        <w:rPr>
          <w:b/>
          <w:spacing w:val="-3"/>
          <w:sz w:val="20"/>
        </w:rPr>
        <w:t>服务专线或到承保公司柜台查询保险单和理赔信息。</w:t>
      </w:r>
    </w:p>
    <w:p w14:paraId="2A217AC0">
      <w:pPr>
        <w:pStyle w:val="3"/>
        <w:ind w:left="0"/>
        <w:rPr>
          <w:b/>
          <w:sz w:val="20"/>
        </w:rPr>
      </w:pPr>
    </w:p>
    <w:p w14:paraId="27C02444">
      <w:pPr>
        <w:pStyle w:val="3"/>
        <w:ind w:left="0"/>
        <w:rPr>
          <w:b/>
          <w:sz w:val="20"/>
        </w:rPr>
      </w:pPr>
    </w:p>
    <w:p w14:paraId="6FA28C36">
      <w:pPr>
        <w:pStyle w:val="3"/>
        <w:ind w:left="0"/>
        <w:rPr>
          <w:b/>
          <w:sz w:val="20"/>
        </w:rPr>
      </w:pPr>
    </w:p>
    <w:p w14:paraId="6A39DF35">
      <w:pPr>
        <w:pStyle w:val="3"/>
        <w:ind w:left="0"/>
        <w:rPr>
          <w:b/>
          <w:sz w:val="20"/>
        </w:rPr>
      </w:pPr>
    </w:p>
    <w:p w14:paraId="1B09DF7B">
      <w:pPr>
        <w:pStyle w:val="3"/>
        <w:ind w:left="0"/>
        <w:rPr>
          <w:b/>
          <w:sz w:val="20"/>
        </w:rPr>
      </w:pPr>
    </w:p>
    <w:p w14:paraId="2C134AFE">
      <w:pPr>
        <w:pStyle w:val="3"/>
        <w:ind w:left="0"/>
        <w:rPr>
          <w:b/>
          <w:sz w:val="20"/>
        </w:rPr>
      </w:pPr>
    </w:p>
    <w:p w14:paraId="3F995C87">
      <w:pPr>
        <w:pStyle w:val="3"/>
        <w:ind w:left="0"/>
        <w:rPr>
          <w:b/>
          <w:sz w:val="20"/>
        </w:rPr>
      </w:pPr>
    </w:p>
    <w:p w14:paraId="7BBD8A27">
      <w:pPr>
        <w:pStyle w:val="3"/>
        <w:ind w:left="0"/>
        <w:rPr>
          <w:b/>
          <w:sz w:val="20"/>
        </w:rPr>
      </w:pPr>
    </w:p>
    <w:p w14:paraId="2CFA7DE5">
      <w:pPr>
        <w:pStyle w:val="3"/>
        <w:ind w:left="0"/>
        <w:rPr>
          <w:b/>
          <w:sz w:val="20"/>
        </w:rPr>
      </w:pPr>
    </w:p>
    <w:p w14:paraId="16DF6133">
      <w:pPr>
        <w:pStyle w:val="3"/>
        <w:ind w:left="0"/>
        <w:rPr>
          <w:b/>
          <w:sz w:val="20"/>
        </w:rPr>
      </w:pPr>
    </w:p>
    <w:p w14:paraId="2BCF614B">
      <w:pPr>
        <w:pStyle w:val="3"/>
        <w:ind w:left="0"/>
        <w:rPr>
          <w:b/>
          <w:sz w:val="20"/>
        </w:rPr>
      </w:pPr>
    </w:p>
    <w:p w14:paraId="7559F3CC">
      <w:pPr>
        <w:pStyle w:val="3"/>
        <w:ind w:left="0"/>
        <w:rPr>
          <w:b/>
          <w:sz w:val="20"/>
        </w:rPr>
      </w:pPr>
    </w:p>
    <w:p w14:paraId="2FEFC791">
      <w:pPr>
        <w:pStyle w:val="3"/>
        <w:ind w:left="0"/>
        <w:rPr>
          <w:b/>
          <w:sz w:val="20"/>
        </w:rPr>
      </w:pPr>
    </w:p>
    <w:p w14:paraId="0D4D825A">
      <w:pPr>
        <w:pStyle w:val="3"/>
        <w:ind w:left="0"/>
        <w:rPr>
          <w:b/>
          <w:sz w:val="20"/>
        </w:rPr>
      </w:pPr>
    </w:p>
    <w:p w14:paraId="5A5AA9CF">
      <w:pPr>
        <w:pStyle w:val="3"/>
        <w:ind w:left="0"/>
        <w:rPr>
          <w:b/>
          <w:sz w:val="20"/>
        </w:rPr>
      </w:pPr>
    </w:p>
    <w:p w14:paraId="066EF880">
      <w:pPr>
        <w:pStyle w:val="3"/>
        <w:ind w:left="0"/>
        <w:rPr>
          <w:b/>
          <w:sz w:val="20"/>
        </w:rPr>
      </w:pPr>
    </w:p>
    <w:p w14:paraId="663AD290">
      <w:pPr>
        <w:pStyle w:val="3"/>
        <w:ind w:left="0"/>
        <w:rPr>
          <w:b/>
          <w:sz w:val="20"/>
        </w:rPr>
      </w:pPr>
    </w:p>
    <w:p w14:paraId="4C3B27EA">
      <w:pPr>
        <w:pStyle w:val="3"/>
        <w:ind w:left="0"/>
        <w:rPr>
          <w:b/>
          <w:sz w:val="20"/>
        </w:rPr>
      </w:pPr>
    </w:p>
    <w:p w14:paraId="5B9D7276">
      <w:pPr>
        <w:pStyle w:val="3"/>
        <w:ind w:left="0"/>
        <w:rPr>
          <w:b/>
          <w:sz w:val="20"/>
        </w:rPr>
      </w:pPr>
    </w:p>
    <w:p w14:paraId="19EC7D2A">
      <w:pPr>
        <w:pStyle w:val="3"/>
        <w:ind w:left="0"/>
        <w:rPr>
          <w:b/>
          <w:sz w:val="20"/>
        </w:rPr>
      </w:pPr>
    </w:p>
    <w:p w14:paraId="0142A681">
      <w:pPr>
        <w:pStyle w:val="3"/>
        <w:ind w:left="0"/>
        <w:rPr>
          <w:b/>
          <w:sz w:val="20"/>
        </w:rPr>
      </w:pPr>
    </w:p>
    <w:p w14:paraId="7779CBBE">
      <w:pPr>
        <w:pStyle w:val="3"/>
        <w:ind w:left="0"/>
        <w:rPr>
          <w:b/>
          <w:sz w:val="20"/>
        </w:rPr>
      </w:pPr>
    </w:p>
    <w:p w14:paraId="51C55C4D">
      <w:pPr>
        <w:pStyle w:val="3"/>
        <w:ind w:left="0"/>
        <w:rPr>
          <w:b/>
          <w:sz w:val="20"/>
        </w:rPr>
      </w:pPr>
    </w:p>
    <w:p w14:paraId="7C1ADA33">
      <w:pPr>
        <w:pStyle w:val="3"/>
        <w:spacing w:before="10"/>
        <w:ind w:left="0"/>
        <w:rPr>
          <w:b/>
          <w:sz w:val="20"/>
        </w:rPr>
      </w:pPr>
    </w:p>
    <w:p w14:paraId="19DBE30A">
      <w:pPr>
        <w:spacing w:before="0"/>
        <w:ind w:left="418" w:right="418" w:firstLine="0"/>
        <w:jc w:val="center"/>
        <w:rPr>
          <w:sz w:val="20"/>
        </w:rPr>
      </w:pPr>
      <w:r>
        <w:rPr>
          <w:sz w:val="20"/>
        </w:rPr>
        <w:t>第2页 共2</w:t>
      </w:r>
      <w:r>
        <w:rPr>
          <w:spacing w:val="-10"/>
          <w:sz w:val="20"/>
        </w:rPr>
        <w:t>页</w:t>
      </w:r>
    </w:p>
    <w:p w14:paraId="5D0013B9">
      <w:pPr>
        <w:spacing w:after="0"/>
        <w:jc w:val="center"/>
        <w:rPr>
          <w:sz w:val="20"/>
        </w:rPr>
        <w:sectPr>
          <w:pgSz w:w="11910" w:h="16840"/>
          <w:pgMar w:top="620" w:right="425" w:bottom="0" w:left="425" w:header="720" w:footer="720" w:gutter="0"/>
          <w:cols w:space="720" w:num="1"/>
        </w:sectPr>
      </w:pPr>
    </w:p>
    <w:p w14:paraId="27D4515C">
      <w:pPr>
        <w:spacing w:before="6"/>
        <w:ind w:left="418" w:right="419" w:firstLine="0"/>
        <w:jc w:val="center"/>
        <w:rPr>
          <w:b/>
          <w:sz w:val="44"/>
        </w:rPr>
      </w:pPr>
      <w:r>
        <w:rPr>
          <w:b/>
          <w:spacing w:val="-5"/>
          <w:sz w:val="44"/>
        </w:rPr>
        <w:t>中华联合财产保险股份有限公司</w:t>
      </w:r>
    </w:p>
    <w:p w14:paraId="676CFCD1">
      <w:pPr>
        <w:spacing w:before="520"/>
        <w:ind w:left="418" w:right="420" w:firstLine="0"/>
        <w:jc w:val="center"/>
        <w:rPr>
          <w:b/>
          <w:sz w:val="44"/>
        </w:rPr>
      </w:pPr>
      <w:r>
        <w:rPr>
          <w:b/>
          <w:spacing w:val="-4"/>
          <w:sz w:val="44"/>
        </w:rPr>
        <w:t>营业中断保险（2025</w:t>
      </w:r>
      <w:r>
        <w:rPr>
          <w:b/>
          <w:spacing w:val="-47"/>
          <w:sz w:val="44"/>
        </w:rPr>
        <w:t xml:space="preserve"> 版</w:t>
      </w:r>
      <w:r>
        <w:rPr>
          <w:b/>
          <w:spacing w:val="-4"/>
          <w:sz w:val="44"/>
        </w:rPr>
        <w:t>）</w:t>
      </w:r>
      <w:r>
        <w:rPr>
          <w:b/>
          <w:spacing w:val="-7"/>
          <w:sz w:val="44"/>
        </w:rPr>
        <w:t>条款</w:t>
      </w:r>
    </w:p>
    <w:p w14:paraId="42C0EDFC">
      <w:pPr>
        <w:spacing w:before="440"/>
        <w:ind w:left="418" w:right="419" w:firstLine="0"/>
        <w:jc w:val="center"/>
        <w:rPr>
          <w:b/>
          <w:sz w:val="21"/>
        </w:rPr>
      </w:pPr>
      <w:r>
        <w:rPr>
          <w:b/>
          <w:spacing w:val="-6"/>
          <w:sz w:val="21"/>
        </w:rPr>
        <w:t>总则</w:t>
      </w:r>
    </w:p>
    <w:p w14:paraId="2F363CFF">
      <w:pPr>
        <w:pStyle w:val="3"/>
        <w:spacing w:before="195" w:line="273" w:lineRule="auto"/>
        <w:ind w:right="1374" w:firstLine="417"/>
        <w:jc w:val="both"/>
      </w:pPr>
      <w:r>
        <w:rPr>
          <w:b/>
          <w:spacing w:val="-6"/>
        </w:rPr>
        <w:t xml:space="preserve">第一条 </w:t>
      </w:r>
      <w:r>
        <w:t>本保险合同由保险条款、投保单、保险单或其他保险凭证以及批单组成。凡涉</w:t>
      </w:r>
      <w:r>
        <w:rPr>
          <w:spacing w:val="-2"/>
        </w:rPr>
        <w:t>及本保险合同的约定，均应采用书面形式。</w:t>
      </w:r>
    </w:p>
    <w:p w14:paraId="0EC0B174">
      <w:pPr>
        <w:pStyle w:val="3"/>
        <w:spacing w:before="157" w:line="273" w:lineRule="auto"/>
        <w:ind w:right="1374" w:firstLine="417"/>
        <w:jc w:val="both"/>
      </w:pPr>
      <w:r>
        <w:rPr>
          <w:b/>
          <w:spacing w:val="-6"/>
        </w:rPr>
        <w:t xml:space="preserve">第二条 </w:t>
      </w:r>
      <w:r>
        <w:t>凡依法设立且财务制度健全的各类机关、企事业单位以及其他经济组织，均可</w:t>
      </w:r>
      <w:r>
        <w:rPr>
          <w:spacing w:val="-2"/>
        </w:rPr>
        <w:t>作为本保险合同的投保人、被保险人。</w:t>
      </w:r>
    </w:p>
    <w:p w14:paraId="64191D46">
      <w:pPr>
        <w:pStyle w:val="3"/>
        <w:spacing w:before="158" w:line="273" w:lineRule="auto"/>
        <w:ind w:right="1374" w:firstLine="417"/>
        <w:jc w:val="both"/>
      </w:pPr>
      <w:r>
        <w:rPr>
          <w:b/>
        </w:rPr>
        <w:t xml:space="preserve">第三条 </w:t>
      </w:r>
      <w:r>
        <w:rPr>
          <w:spacing w:val="-3"/>
        </w:rPr>
        <w:t>投保人应将被保险人在本保险合同载明的营业处所从事载明的经营业务</w:t>
      </w:r>
      <w:r>
        <w:t>（以下</w:t>
      </w:r>
      <w:r>
        <w:rPr>
          <w:spacing w:val="-4"/>
        </w:rPr>
        <w:t>简称“营业”）所使用的物质财产向保险人投保相关的物质财产损失保险。物质财产损失保</w:t>
      </w:r>
      <w:r>
        <w:rPr>
          <w:spacing w:val="-2"/>
        </w:rPr>
        <w:t>险合同（以下简称“物质损失保险合同”）号应在本保险合同中载明。</w:t>
      </w:r>
    </w:p>
    <w:p w14:paraId="3DC3192C">
      <w:pPr>
        <w:spacing w:before="158"/>
        <w:ind w:left="418" w:right="418" w:firstLine="0"/>
        <w:jc w:val="center"/>
        <w:rPr>
          <w:b/>
          <w:sz w:val="21"/>
        </w:rPr>
      </w:pPr>
      <w:r>
        <w:rPr>
          <w:b/>
          <w:spacing w:val="-4"/>
          <w:sz w:val="21"/>
        </w:rPr>
        <w:t>保险责任</w:t>
      </w:r>
    </w:p>
    <w:p w14:paraId="2E91D125">
      <w:pPr>
        <w:spacing w:before="195" w:line="273" w:lineRule="auto"/>
        <w:ind w:left="1375" w:right="1268" w:firstLine="417"/>
        <w:jc w:val="both"/>
        <w:rPr>
          <w:b/>
          <w:sz w:val="21"/>
        </w:rPr>
      </w:pPr>
      <w:r>
        <w:rPr>
          <w:b/>
          <w:spacing w:val="1"/>
          <w:w w:val="99"/>
          <w:sz w:val="21"/>
        </w:rPr>
        <w:t>第四条</w:t>
      </w:r>
      <w:r>
        <w:rPr>
          <w:b/>
          <w:spacing w:val="-1"/>
          <w:sz w:val="21"/>
        </w:rPr>
        <w:t xml:space="preserve">  </w:t>
      </w:r>
      <w:r>
        <w:rPr>
          <w:b/>
          <w:spacing w:val="3"/>
          <w:w w:val="99"/>
          <w:sz w:val="21"/>
        </w:rPr>
        <w:t>在保险期间内，被保险人因物质损失保险合同主险条款所承保的风险造成营</w:t>
      </w:r>
      <w:r>
        <w:rPr>
          <w:b/>
          <w:spacing w:val="2"/>
          <w:w w:val="99"/>
          <w:sz w:val="21"/>
        </w:rPr>
        <w:t>业所使用的物质财产遭受损失</w:t>
      </w:r>
      <w:r>
        <w:rPr>
          <w:b/>
          <w:spacing w:val="4"/>
          <w:w w:val="99"/>
          <w:sz w:val="21"/>
        </w:rPr>
        <w:t>（</w:t>
      </w:r>
      <w:r>
        <w:rPr>
          <w:b/>
          <w:spacing w:val="2"/>
          <w:w w:val="99"/>
          <w:sz w:val="21"/>
        </w:rPr>
        <w:t>以下简称“物质保险损失”</w:t>
      </w:r>
      <w:r>
        <w:rPr>
          <w:b/>
          <w:spacing w:val="4"/>
          <w:w w:val="99"/>
          <w:sz w:val="21"/>
        </w:rPr>
        <w:t>），</w:t>
      </w:r>
      <w:r>
        <w:rPr>
          <w:b/>
          <w:spacing w:val="1"/>
          <w:w w:val="99"/>
          <w:sz w:val="21"/>
        </w:rPr>
        <w:t>导致被保险人营业受到干</w:t>
      </w:r>
      <w:r>
        <w:rPr>
          <w:b/>
          <w:spacing w:val="-2"/>
          <w:w w:val="99"/>
          <w:sz w:val="21"/>
        </w:rPr>
        <w:t>扰或中断，由此产生的赔偿期间内的毛利润损失，保险人按照本保险合同的约定负责赔偿。</w:t>
      </w:r>
    </w:p>
    <w:p w14:paraId="4EB4EF6C">
      <w:pPr>
        <w:spacing w:before="2" w:line="273" w:lineRule="auto"/>
        <w:ind w:left="1375" w:right="1374" w:firstLine="420"/>
        <w:jc w:val="left"/>
        <w:rPr>
          <w:b/>
          <w:sz w:val="21"/>
        </w:rPr>
      </w:pPr>
      <w:r>
        <w:rPr>
          <w:spacing w:val="-6"/>
          <w:sz w:val="21"/>
        </w:rPr>
        <w:t>本保险合同所称赔偿期间是指自物质保险损失发生之日起，被保险人的营业结果因该物</w:t>
      </w:r>
      <w:r>
        <w:rPr>
          <w:spacing w:val="-2"/>
          <w:sz w:val="21"/>
        </w:rPr>
        <w:t>质保险损失而受到影响的期间，</w:t>
      </w:r>
      <w:r>
        <w:rPr>
          <w:b/>
          <w:spacing w:val="-2"/>
          <w:sz w:val="21"/>
        </w:rPr>
        <w:t>但该期间最长不得超过本保险合同约定的最大赔偿期。</w:t>
      </w:r>
    </w:p>
    <w:p w14:paraId="411F33C7">
      <w:pPr>
        <w:pStyle w:val="3"/>
        <w:spacing w:before="158" w:line="410" w:lineRule="auto"/>
        <w:ind w:left="1795" w:right="4220"/>
      </w:pPr>
      <w:r>
        <w:rPr>
          <w:spacing w:val="-2"/>
        </w:rPr>
        <w:t>本保险合同所称毛利润是指按照下述公式计算的金额：毛利润=营业利润+约定的维持费用</w:t>
      </w:r>
    </w:p>
    <w:p w14:paraId="7DD8767B">
      <w:pPr>
        <w:pStyle w:val="3"/>
        <w:spacing w:before="2"/>
        <w:ind w:left="1795"/>
      </w:pPr>
      <w:r>
        <w:rPr>
          <w:spacing w:val="-10"/>
        </w:rPr>
        <w:t>或</w:t>
      </w:r>
    </w:p>
    <w:p w14:paraId="61E70FFC">
      <w:pPr>
        <w:pStyle w:val="3"/>
        <w:spacing w:before="195"/>
        <w:ind w:left="1795"/>
      </w:pPr>
      <w:r>
        <w:rPr>
          <w:spacing w:val="-3"/>
        </w:rPr>
        <w:t>毛利润=约定的维持费用-营业亏损×约定的维持费用/全部的维持费用</w:t>
      </w:r>
    </w:p>
    <w:p w14:paraId="55D198BB">
      <w:pPr>
        <w:pStyle w:val="3"/>
        <w:spacing w:before="195" w:line="273" w:lineRule="auto"/>
        <w:ind w:right="1374" w:firstLine="420"/>
        <w:jc w:val="both"/>
      </w:pPr>
      <w:r>
        <w:rPr>
          <w:spacing w:val="-5"/>
        </w:rPr>
        <w:t>本保险合同所称维持费用是指被保险人为维持正常的营业活动而发生的、不随被保险人</w:t>
      </w:r>
      <w:r>
        <w:rPr>
          <w:spacing w:val="-4"/>
        </w:rPr>
        <w:t>营业收入的减少而成正比例减少的成本或费用。约定的维持费用由投保人自行确定，经保险</w:t>
      </w:r>
      <w:r>
        <w:rPr>
          <w:spacing w:val="-2"/>
        </w:rPr>
        <w:t>人确认后在保险合同中载明。</w:t>
      </w:r>
    </w:p>
    <w:p w14:paraId="33F144F4">
      <w:pPr>
        <w:pStyle w:val="3"/>
        <w:spacing w:before="159"/>
        <w:ind w:left="1795"/>
      </w:pPr>
      <w:r>
        <w:rPr>
          <w:spacing w:val="-3"/>
        </w:rPr>
        <w:t>除另有约定外，上述公式所用的会计措辞的含义与被保险人会计账表中的含义一致。</w:t>
      </w:r>
    </w:p>
    <w:p w14:paraId="286FDDF0">
      <w:pPr>
        <w:pStyle w:val="3"/>
        <w:spacing w:before="195" w:line="273" w:lineRule="auto"/>
        <w:ind w:right="1374" w:firstLine="417"/>
        <w:jc w:val="both"/>
      </w:pPr>
      <w:r>
        <w:rPr>
          <w:b/>
          <w:spacing w:val="-6"/>
        </w:rPr>
        <w:t xml:space="preserve">第五条 </w:t>
      </w:r>
      <w:r>
        <w:t>发生第四条约定的保险事故后，被保险人申请赔偿时，按照保险人的要求提供</w:t>
      </w:r>
      <w:r>
        <w:rPr>
          <w:spacing w:val="-4"/>
        </w:rPr>
        <w:t>有关账表、账表审计结果或其他证据所付给被保险人聘请的注册会计师的合理的、必要的费</w:t>
      </w:r>
      <w:r>
        <w:rPr>
          <w:spacing w:val="-2"/>
        </w:rPr>
        <w:t>用（以下简称“审计费用”），保险人在本保险合同约定的赔偿限额内也负责赔偿。</w:t>
      </w:r>
    </w:p>
    <w:p w14:paraId="56C53801">
      <w:pPr>
        <w:spacing w:before="158" w:line="410" w:lineRule="auto"/>
        <w:ind w:left="1792" w:right="5104" w:firstLine="3314"/>
        <w:jc w:val="both"/>
        <w:rPr>
          <w:b/>
          <w:sz w:val="21"/>
        </w:rPr>
      </w:pPr>
      <w:r>
        <w:rPr>
          <w:b/>
          <w:spacing w:val="-4"/>
          <w:sz w:val="21"/>
        </w:rPr>
        <w:t>责任免除</w:t>
      </w:r>
      <w:r>
        <w:rPr>
          <w:b/>
          <w:sz w:val="21"/>
        </w:rPr>
        <w:t>第六条 保险人不负责赔偿下列损失：</w:t>
      </w:r>
    </w:p>
    <w:p w14:paraId="3CEC07F5">
      <w:pPr>
        <w:spacing w:before="2"/>
        <w:ind w:left="1795" w:right="0" w:firstLine="0"/>
        <w:jc w:val="left"/>
        <w:rPr>
          <w:b/>
          <w:sz w:val="21"/>
        </w:rPr>
      </w:pPr>
      <w:r>
        <w:rPr>
          <w:b/>
          <w:spacing w:val="-2"/>
          <w:sz w:val="21"/>
        </w:rPr>
        <w:t>（一）</w:t>
      </w:r>
      <w:r>
        <w:rPr>
          <w:b/>
          <w:spacing w:val="-3"/>
          <w:sz w:val="21"/>
        </w:rPr>
        <w:t>投保人、被保险人的故意或重大过失行为产生或扩大的任何损失；</w:t>
      </w:r>
    </w:p>
    <w:p w14:paraId="62D63C6D">
      <w:pPr>
        <w:spacing w:after="0"/>
        <w:jc w:val="left"/>
        <w:rPr>
          <w:b/>
          <w:sz w:val="21"/>
        </w:rPr>
        <w:sectPr>
          <w:pgSz w:w="11910" w:h="16840"/>
          <w:pgMar w:top="1840" w:right="425" w:bottom="280" w:left="425" w:header="720" w:footer="720" w:gutter="0"/>
          <w:cols w:space="720" w:num="1"/>
        </w:sectPr>
      </w:pPr>
    </w:p>
    <w:p w14:paraId="0914B274">
      <w:pPr>
        <w:spacing w:before="39"/>
        <w:ind w:left="1795" w:right="0" w:firstLine="0"/>
        <w:jc w:val="left"/>
        <w:rPr>
          <w:b/>
          <w:sz w:val="21"/>
        </w:rPr>
      </w:pPr>
      <w:r>
        <w:rPr>
          <w:b/>
          <w:spacing w:val="-2"/>
          <w:sz w:val="21"/>
        </w:rPr>
        <w:t>（二）</w:t>
      </w:r>
      <w:r>
        <w:rPr>
          <w:b/>
          <w:spacing w:val="-3"/>
          <w:sz w:val="21"/>
        </w:rPr>
        <w:t>由于物质损失保险合同主险条款责任范围以外的原因产生或扩大的损失；</w:t>
      </w:r>
    </w:p>
    <w:p w14:paraId="7E0158EC">
      <w:pPr>
        <w:spacing w:before="195"/>
        <w:ind w:left="1795" w:right="0" w:firstLine="0"/>
        <w:jc w:val="left"/>
        <w:rPr>
          <w:b/>
          <w:sz w:val="21"/>
        </w:rPr>
      </w:pPr>
      <w:r>
        <w:rPr>
          <w:b/>
          <w:spacing w:val="-2"/>
          <w:sz w:val="21"/>
        </w:rPr>
        <w:t>（三）</w:t>
      </w:r>
      <w:r>
        <w:rPr>
          <w:b/>
          <w:spacing w:val="-3"/>
          <w:sz w:val="21"/>
        </w:rPr>
        <w:t>地震、海啸及其次生灾害产生或扩大的损失；</w:t>
      </w:r>
    </w:p>
    <w:p w14:paraId="091601EE">
      <w:pPr>
        <w:spacing w:before="195"/>
        <w:ind w:left="1795" w:right="0" w:firstLine="0"/>
        <w:jc w:val="left"/>
        <w:rPr>
          <w:b/>
          <w:sz w:val="21"/>
        </w:rPr>
      </w:pPr>
      <w:r>
        <w:rPr>
          <w:b/>
          <w:spacing w:val="-2"/>
          <w:sz w:val="21"/>
        </w:rPr>
        <w:t>（四）</w:t>
      </w:r>
      <w:r>
        <w:rPr>
          <w:b/>
          <w:spacing w:val="-3"/>
          <w:sz w:val="21"/>
        </w:rPr>
        <w:t>由于政府对受损财产的修建或修复的限制而产生或扩大的损失；</w:t>
      </w:r>
    </w:p>
    <w:p w14:paraId="28352437">
      <w:pPr>
        <w:spacing w:before="195"/>
        <w:ind w:left="1795" w:right="0" w:firstLine="0"/>
        <w:jc w:val="left"/>
        <w:rPr>
          <w:b/>
          <w:sz w:val="21"/>
        </w:rPr>
      </w:pPr>
      <w:r>
        <w:rPr>
          <w:b/>
          <w:spacing w:val="-2"/>
          <w:sz w:val="21"/>
        </w:rPr>
        <w:t>（五）</w:t>
      </w:r>
      <w:r>
        <w:rPr>
          <w:b/>
          <w:spacing w:val="-3"/>
          <w:sz w:val="21"/>
        </w:rPr>
        <w:t>恐怖主义活动产生或扩大的损失；</w:t>
      </w:r>
    </w:p>
    <w:p w14:paraId="0C83ED16">
      <w:pPr>
        <w:spacing w:before="195"/>
        <w:ind w:left="1795" w:right="0" w:firstLine="0"/>
        <w:jc w:val="left"/>
        <w:rPr>
          <w:b/>
          <w:sz w:val="21"/>
        </w:rPr>
      </w:pPr>
      <w:r>
        <w:rPr>
          <w:b/>
          <w:spacing w:val="-2"/>
          <w:sz w:val="21"/>
        </w:rPr>
        <w:t>（六）</w:t>
      </w:r>
      <w:r>
        <w:rPr>
          <w:b/>
          <w:spacing w:val="-3"/>
          <w:sz w:val="21"/>
        </w:rPr>
        <w:t>本保险合同载明的免赔额或本保险合同约定的免赔期内的损失。</w:t>
      </w:r>
    </w:p>
    <w:p w14:paraId="0AD33D27">
      <w:pPr>
        <w:spacing w:before="195"/>
        <w:ind w:left="4579" w:right="0" w:firstLine="0"/>
        <w:jc w:val="left"/>
        <w:rPr>
          <w:b/>
          <w:sz w:val="21"/>
        </w:rPr>
      </w:pPr>
      <w:r>
        <w:rPr>
          <w:b/>
          <w:spacing w:val="-3"/>
          <w:sz w:val="21"/>
        </w:rPr>
        <w:t>保险金额与赔偿限额</w:t>
      </w:r>
    </w:p>
    <w:p w14:paraId="2C051135">
      <w:pPr>
        <w:pStyle w:val="3"/>
        <w:spacing w:before="195" w:line="410" w:lineRule="auto"/>
        <w:ind w:left="1792" w:right="2749"/>
      </w:pPr>
      <w:r>
        <w:rPr>
          <w:b/>
          <w:spacing w:val="10"/>
        </w:rPr>
        <w:t xml:space="preserve">第七条 </w:t>
      </w:r>
      <w:r>
        <w:t>毛利润损失保险金额由投保人自行确定并在保险合同中载明。</w:t>
      </w:r>
      <w:r>
        <w:rPr>
          <w:b/>
          <w:spacing w:val="10"/>
        </w:rPr>
        <w:t xml:space="preserve">第八条 </w:t>
      </w:r>
      <w:r>
        <w:t>审计费用赔偿限额由投保人自行确定并在保险合同中载明。</w:t>
      </w:r>
    </w:p>
    <w:p w14:paraId="1F452C64">
      <w:pPr>
        <w:spacing w:before="3"/>
        <w:ind w:left="4473" w:right="0" w:firstLine="0"/>
        <w:jc w:val="left"/>
        <w:rPr>
          <w:b/>
          <w:sz w:val="21"/>
        </w:rPr>
      </w:pPr>
      <w:r>
        <w:rPr>
          <w:b/>
          <w:spacing w:val="-3"/>
          <w:sz w:val="21"/>
        </w:rPr>
        <w:t>保险期间与最大赔偿期</w:t>
      </w:r>
    </w:p>
    <w:p w14:paraId="4FBE5FCF">
      <w:pPr>
        <w:pStyle w:val="3"/>
        <w:spacing w:before="194" w:line="410" w:lineRule="auto"/>
        <w:ind w:left="1792" w:right="2329"/>
      </w:pPr>
      <w:r>
        <w:rPr>
          <w:b/>
          <w:spacing w:val="10"/>
        </w:rPr>
        <w:t xml:space="preserve">第九条 </w:t>
      </w:r>
      <w:r>
        <w:t>除另有约定外，保险期间为一年，以保险单载明的起讫时间为准。</w:t>
      </w:r>
      <w:r>
        <w:rPr>
          <w:b/>
          <w:spacing w:val="10"/>
        </w:rPr>
        <w:t xml:space="preserve">第十条 </w:t>
      </w:r>
      <w:r>
        <w:t>最大赔偿期由投保人自行确定并在保险合同中载明。</w:t>
      </w:r>
    </w:p>
    <w:p w14:paraId="072C951A">
      <w:pPr>
        <w:spacing w:before="3"/>
        <w:ind w:left="4790" w:right="0" w:firstLine="0"/>
        <w:jc w:val="left"/>
        <w:rPr>
          <w:b/>
          <w:sz w:val="21"/>
        </w:rPr>
      </w:pPr>
      <w:r>
        <w:rPr>
          <w:b/>
          <w:spacing w:val="-4"/>
          <w:sz w:val="21"/>
        </w:rPr>
        <w:t>免赔额与免赔期</w:t>
      </w:r>
    </w:p>
    <w:p w14:paraId="59978C33">
      <w:pPr>
        <w:spacing w:before="195" w:line="273" w:lineRule="auto"/>
        <w:ind w:left="1375" w:right="1374" w:firstLine="417"/>
        <w:jc w:val="both"/>
        <w:rPr>
          <w:b/>
          <w:sz w:val="21"/>
        </w:rPr>
      </w:pPr>
      <w:r>
        <w:rPr>
          <w:b/>
          <w:sz w:val="21"/>
        </w:rPr>
        <w:t>第十一条 免赔额或免赔期由投保人与保险人在订立保险合同时协商确定，并在保险</w:t>
      </w:r>
      <w:r>
        <w:rPr>
          <w:b/>
          <w:spacing w:val="-2"/>
          <w:sz w:val="21"/>
        </w:rPr>
        <w:t>合同中载明。</w:t>
      </w:r>
    </w:p>
    <w:p w14:paraId="4ECB180F">
      <w:pPr>
        <w:spacing w:before="157"/>
        <w:ind w:left="418" w:right="419" w:firstLine="0"/>
        <w:jc w:val="center"/>
        <w:rPr>
          <w:b/>
          <w:sz w:val="21"/>
        </w:rPr>
      </w:pPr>
      <w:r>
        <w:rPr>
          <w:b/>
          <w:spacing w:val="-4"/>
          <w:sz w:val="21"/>
        </w:rPr>
        <w:t>保险人义务</w:t>
      </w:r>
    </w:p>
    <w:p w14:paraId="31E844B0">
      <w:pPr>
        <w:pStyle w:val="3"/>
        <w:spacing w:before="195" w:line="273" w:lineRule="auto"/>
        <w:ind w:right="1374" w:firstLine="417"/>
        <w:jc w:val="both"/>
      </w:pPr>
      <w:r>
        <w:rPr>
          <w:b/>
          <w:spacing w:val="-5"/>
        </w:rPr>
        <w:t xml:space="preserve">第十二条 </w:t>
      </w:r>
      <w:r>
        <w:t>订立保险合同时，采用保险人提供的格式条款的，保险人向投保人提供的投</w:t>
      </w:r>
      <w:r>
        <w:rPr>
          <w:spacing w:val="-4"/>
        </w:rPr>
        <w:t>保单应当附格式条款，保险人应当向投保人说明保险合同的内容。对保险合同中免除保险人责任的条款，保险人在订立合同时应当在投保单、保险单或者其他保险凭证上作出足以引起投保人注意的提示，并对该条款的内容以书面或者口头形式向投保人作出明确说明；未作提</w:t>
      </w:r>
      <w:r>
        <w:rPr>
          <w:spacing w:val="-2"/>
        </w:rPr>
        <w:t>示或者明确说明的，该条款不产生效力。</w:t>
      </w:r>
    </w:p>
    <w:p w14:paraId="37B1F10C">
      <w:pPr>
        <w:pStyle w:val="3"/>
        <w:spacing w:before="160"/>
        <w:ind w:left="1792"/>
      </w:pPr>
      <w:r>
        <w:rPr>
          <w:b/>
          <w:spacing w:val="10"/>
        </w:rPr>
        <w:t xml:space="preserve">第十三条 </w:t>
      </w:r>
      <w:r>
        <w:rPr>
          <w:spacing w:val="-1"/>
        </w:rPr>
        <w:t>本保险合同成立后，保险人应当及时向投保人签发保险单或其他保险凭证。</w:t>
      </w:r>
    </w:p>
    <w:p w14:paraId="309F5ADE">
      <w:pPr>
        <w:pStyle w:val="3"/>
        <w:spacing w:before="195" w:line="273" w:lineRule="auto"/>
        <w:ind w:right="1268" w:firstLine="417"/>
      </w:pPr>
      <w:r>
        <w:rPr>
          <w:b/>
          <w:spacing w:val="8"/>
        </w:rPr>
        <w:t xml:space="preserve">第十四条 </w:t>
      </w:r>
      <w:r>
        <w:rPr>
          <w:spacing w:val="-5"/>
        </w:rPr>
        <w:t>保险人依据第十八条所取得的保险合同解除权，自保险人知道有解除事由之</w:t>
      </w:r>
      <w:r>
        <w:rPr>
          <w:spacing w:val="-17"/>
        </w:rPr>
        <w:t>日起，超过三十日不行使而消灭。自保险合同成立之日起超过二年的，保险人不得解除合同；</w:t>
      </w:r>
      <w:r>
        <w:rPr>
          <w:spacing w:val="-2"/>
        </w:rPr>
        <w:t>发生保险事故的，保险人承担赔偿责任。</w:t>
      </w:r>
    </w:p>
    <w:p w14:paraId="46EEDE02">
      <w:pPr>
        <w:pStyle w:val="3"/>
        <w:spacing w:before="137"/>
        <w:ind w:right="1374" w:firstLine="420"/>
      </w:pPr>
      <w:r>
        <w:rPr>
          <w:spacing w:val="-4"/>
        </w:rPr>
        <w:t>保险人在合同订立时已经知道投保人未如实告知的情况的，保险人不得解除合同；发生</w:t>
      </w:r>
      <w:r>
        <w:rPr>
          <w:spacing w:val="-2"/>
        </w:rPr>
        <w:t>保险事故的，保险人应当承担赔偿责任。</w:t>
      </w:r>
    </w:p>
    <w:p w14:paraId="1A5FAF94">
      <w:pPr>
        <w:pStyle w:val="3"/>
        <w:spacing w:before="174" w:line="273" w:lineRule="auto"/>
        <w:ind w:right="1374" w:firstLine="417"/>
      </w:pPr>
      <w:r>
        <w:rPr>
          <w:b/>
          <w:spacing w:val="8"/>
        </w:rPr>
        <w:t xml:space="preserve">第十五条 </w:t>
      </w:r>
      <w:r>
        <w:rPr>
          <w:spacing w:val="-7"/>
        </w:rPr>
        <w:t>保险人按照第二十三条的约定，认为被保险人提供的有关索赔的证明和资料</w:t>
      </w:r>
      <w:r>
        <w:rPr>
          <w:spacing w:val="-2"/>
        </w:rPr>
        <w:t>不完整的，应当及时一次性通知投保人、被保险人补充提供。</w:t>
      </w:r>
    </w:p>
    <w:p w14:paraId="194A705A">
      <w:pPr>
        <w:pStyle w:val="3"/>
        <w:spacing w:before="158" w:line="273" w:lineRule="auto"/>
        <w:ind w:right="1374" w:firstLine="417"/>
        <w:jc w:val="both"/>
      </w:pPr>
      <w:r>
        <w:rPr>
          <w:b/>
        </w:rPr>
        <w:t xml:space="preserve">第十六条 </w:t>
      </w:r>
      <w:r>
        <w:rPr>
          <w:spacing w:val="-5"/>
        </w:rPr>
        <w:t>保险人收到被保险人的赔偿保险金的请求后，应当及时作出是否属于保险责</w:t>
      </w:r>
      <w:r>
        <w:rPr>
          <w:spacing w:val="-2"/>
        </w:rPr>
        <w:t>任的核定；情形复杂的，应当在三十日内作出核定，但保险合同另有约定的除外。</w:t>
      </w:r>
    </w:p>
    <w:p w14:paraId="365ED415">
      <w:pPr>
        <w:pStyle w:val="3"/>
        <w:spacing w:before="138"/>
        <w:ind w:right="1374" w:firstLine="420"/>
        <w:jc w:val="both"/>
      </w:pPr>
      <w:r>
        <w:rPr>
          <w:spacing w:val="-4"/>
        </w:rPr>
        <w:t>保险人应当将核定结果通知被保险人；对属于保险责任的，在与被保险人达成赔偿保险金的协议后十日内，履行赔偿保险金义务。保险合同对赔偿保险金的期限有约定的，保险人应当按照约定履行赔偿保险金的义务。保险人依照前款约定作出核定后，对不属于保险责任</w:t>
      </w:r>
      <w:r>
        <w:rPr>
          <w:spacing w:val="-2"/>
        </w:rPr>
        <w:t>的，应当自作出核定之日起三日内向被保险人发出拒绝赔偿保险金通知书，并说明理由。</w:t>
      </w:r>
    </w:p>
    <w:p w14:paraId="40FE1646">
      <w:pPr>
        <w:pStyle w:val="3"/>
        <w:spacing w:before="175"/>
        <w:ind w:left="1792"/>
      </w:pPr>
      <w:r>
        <w:rPr>
          <w:b/>
          <w:spacing w:val="-4"/>
        </w:rPr>
        <w:t>第十七条</w:t>
      </w:r>
      <w:r>
        <w:rPr>
          <w:b/>
          <w:spacing w:val="45"/>
          <w:w w:val="150"/>
        </w:rPr>
        <w:t xml:space="preserve"> </w:t>
      </w:r>
      <w:r>
        <w:rPr>
          <w:spacing w:val="-5"/>
        </w:rPr>
        <w:t>保险人自收到赔偿保险金的请求和有关证明、资料之日起六十日内，对其赔</w:t>
      </w:r>
    </w:p>
    <w:p w14:paraId="3B45E4C0">
      <w:pPr>
        <w:pStyle w:val="3"/>
        <w:spacing w:after="0"/>
        <w:sectPr>
          <w:pgSz w:w="11910" w:h="16840"/>
          <w:pgMar w:top="1400" w:right="425" w:bottom="280" w:left="425" w:header="720" w:footer="720" w:gutter="0"/>
          <w:cols w:space="720" w:num="1"/>
        </w:sectPr>
      </w:pPr>
    </w:p>
    <w:p w14:paraId="30B5F5D2">
      <w:pPr>
        <w:pStyle w:val="3"/>
        <w:spacing w:before="39" w:line="273" w:lineRule="auto"/>
        <w:ind w:right="1374"/>
      </w:pPr>
      <w:r>
        <w:rPr>
          <w:spacing w:val="-4"/>
        </w:rPr>
        <w:t>偿保险金的数额不能确定的，应当根据已有证明和资料可以确定的数额先予支付；保险人最</w:t>
      </w:r>
      <w:r>
        <w:rPr>
          <w:spacing w:val="-2"/>
        </w:rPr>
        <w:t>终确定赔偿的数额后，应当支付相应的差额。</w:t>
      </w:r>
    </w:p>
    <w:p w14:paraId="07CC7C18">
      <w:pPr>
        <w:spacing w:before="158"/>
        <w:ind w:left="418" w:right="419" w:firstLine="0"/>
        <w:jc w:val="center"/>
        <w:rPr>
          <w:b/>
          <w:sz w:val="21"/>
        </w:rPr>
      </w:pPr>
      <w:r>
        <w:rPr>
          <w:b/>
          <w:spacing w:val="-3"/>
          <w:sz w:val="21"/>
        </w:rPr>
        <w:t>投保人、被保险人义务</w:t>
      </w:r>
    </w:p>
    <w:p w14:paraId="3C104653">
      <w:pPr>
        <w:pStyle w:val="3"/>
        <w:spacing w:before="195" w:line="273" w:lineRule="auto"/>
        <w:ind w:right="1374" w:firstLine="417"/>
      </w:pPr>
      <w:r>
        <w:rPr>
          <w:b/>
          <w:spacing w:val="6"/>
        </w:rPr>
        <w:t xml:space="preserve">第十八条 </w:t>
      </w:r>
      <w:r>
        <w:rPr>
          <w:spacing w:val="-2"/>
        </w:rPr>
        <w:t>订立保险合同，保险人就保险标的或者被保险人的有关情况提出询问的，投保人应当如实告知。</w:t>
      </w:r>
    </w:p>
    <w:p w14:paraId="70204277">
      <w:pPr>
        <w:spacing w:before="136"/>
        <w:ind w:left="1375" w:right="1461" w:firstLine="420"/>
        <w:jc w:val="left"/>
        <w:rPr>
          <w:b/>
          <w:sz w:val="21"/>
        </w:rPr>
      </w:pPr>
      <w:r>
        <w:rPr>
          <w:b/>
          <w:spacing w:val="-2"/>
          <w:sz w:val="21"/>
        </w:rPr>
        <w:t>投保人故意或者因重大过失未履行前款规定的如实告知义务，足以影响保险人决定是否同意承保或者提高保险费率的，保险人有权解除保险合同。</w:t>
      </w:r>
    </w:p>
    <w:p w14:paraId="21E1387E">
      <w:pPr>
        <w:spacing w:before="154"/>
        <w:ind w:left="1375" w:right="1461" w:firstLine="420"/>
        <w:jc w:val="left"/>
        <w:rPr>
          <w:b/>
          <w:sz w:val="21"/>
        </w:rPr>
      </w:pPr>
      <w:r>
        <w:rPr>
          <w:b/>
          <w:spacing w:val="-2"/>
          <w:sz w:val="21"/>
        </w:rPr>
        <w:t>投保人故意不履行如实告知义务的，保险人对于合同解除前发生的保险事故，不承担赔偿责任，并不退还保险费。</w:t>
      </w:r>
    </w:p>
    <w:p w14:paraId="21C5FA19">
      <w:pPr>
        <w:spacing w:before="155"/>
        <w:ind w:left="1375" w:right="1461" w:firstLine="420"/>
        <w:jc w:val="left"/>
        <w:rPr>
          <w:b/>
          <w:sz w:val="21"/>
        </w:rPr>
      </w:pPr>
      <w:r>
        <w:rPr>
          <w:b/>
          <w:spacing w:val="-2"/>
          <w:sz w:val="21"/>
        </w:rPr>
        <w:t>投保人因重大过失未履行如实告知义务，对保险事故的发生有严重影响的，保险人对于合同解除前发生的保险事故，不承担赔偿责任，但应当退还保险费。</w:t>
      </w:r>
    </w:p>
    <w:p w14:paraId="1D14D0A1">
      <w:pPr>
        <w:pStyle w:val="3"/>
        <w:spacing w:before="177"/>
        <w:ind w:left="1792"/>
      </w:pPr>
      <w:r>
        <w:rPr>
          <w:b/>
          <w:spacing w:val="11"/>
        </w:rPr>
        <w:t xml:space="preserve">第十九条 </w:t>
      </w:r>
      <w:r>
        <w:rPr>
          <w:spacing w:val="-1"/>
        </w:rPr>
        <w:t>除另有书面约定外，投保人应当在保险合同成立时交清保险费。</w:t>
      </w:r>
    </w:p>
    <w:p w14:paraId="254D1B8E">
      <w:pPr>
        <w:pStyle w:val="3"/>
        <w:spacing w:before="195" w:line="273" w:lineRule="auto"/>
        <w:ind w:right="1278" w:firstLine="417"/>
      </w:pPr>
      <w:r>
        <w:rPr>
          <w:b/>
          <w:spacing w:val="8"/>
        </w:rPr>
        <w:t xml:space="preserve">第二十条 </w:t>
      </w:r>
      <w:r>
        <w:t>被保险人应当遵守国家有关消防、安全、生产操作、劳动保护等方面规定，</w:t>
      </w:r>
      <w:r>
        <w:rPr>
          <w:spacing w:val="-3"/>
        </w:rPr>
        <w:t>加强管理，采取合理的预防措施，尽力避免或减少责任事故的发生，维护保险标的的安全。</w:t>
      </w:r>
    </w:p>
    <w:p w14:paraId="7D2A5459">
      <w:pPr>
        <w:pStyle w:val="3"/>
        <w:spacing w:before="136"/>
        <w:ind w:right="1374" w:firstLine="420"/>
      </w:pPr>
      <w:r>
        <w:rPr>
          <w:spacing w:val="-4"/>
        </w:rPr>
        <w:t>保险人可以对被保险人遵守前款约定的情况进行检查，向投保人、被保险人提出消除不</w:t>
      </w:r>
      <w:r>
        <w:rPr>
          <w:spacing w:val="-2"/>
        </w:rPr>
        <w:t>安全因素和隐患的书面建议，投保人、被保险人应该认真付诸实施。</w:t>
      </w:r>
    </w:p>
    <w:p w14:paraId="1F14A5D9">
      <w:pPr>
        <w:pStyle w:val="3"/>
        <w:spacing w:before="154"/>
        <w:ind w:right="1374" w:firstLine="420"/>
      </w:pPr>
      <w:r>
        <w:rPr>
          <w:spacing w:val="-4"/>
        </w:rPr>
        <w:t>投保人、被保险人未按照约定履行其对保险标的的安全应尽责任的，保险人有权要求增</w:t>
      </w:r>
      <w:r>
        <w:rPr>
          <w:spacing w:val="-2"/>
        </w:rPr>
        <w:t>加保险费或者解除合同。</w:t>
      </w:r>
    </w:p>
    <w:p w14:paraId="3950E876">
      <w:pPr>
        <w:pStyle w:val="3"/>
        <w:spacing w:before="174" w:line="273" w:lineRule="auto"/>
        <w:ind w:right="1374" w:firstLine="417"/>
        <w:jc w:val="both"/>
        <w:rPr>
          <w:b/>
        </w:rPr>
      </w:pPr>
      <w:r>
        <w:rPr>
          <w:b/>
        </w:rPr>
        <w:t xml:space="preserve">第二十一条 </w:t>
      </w:r>
      <w:r>
        <w:rPr>
          <w:spacing w:val="-10"/>
        </w:rPr>
        <w:t>在保险期间内，如被保险人在保险合同载明的营业处所经营的业务发生变</w:t>
      </w:r>
      <w:r>
        <w:rPr>
          <w:spacing w:val="-4"/>
        </w:rPr>
        <w:t>化、被进行清算或由清算人或财产管理人接管经营，或营业所用的物质财产的风险加大，以</w:t>
      </w:r>
      <w:r>
        <w:rPr>
          <w:spacing w:val="-5"/>
        </w:rPr>
        <w:t>及足以影响保险人决定是否继续承保或是否增加保险费的保险合同重要事项变更，被保险人</w:t>
      </w:r>
      <w:r>
        <w:rPr>
          <w:spacing w:val="-2"/>
        </w:rPr>
        <w:t>应及时书面通知保险人，</w:t>
      </w:r>
      <w:r>
        <w:rPr>
          <w:b/>
          <w:spacing w:val="-2"/>
        </w:rPr>
        <w:t>保险人有权要求增加保险费或者解除合同。</w:t>
      </w:r>
    </w:p>
    <w:p w14:paraId="68EA0B14">
      <w:pPr>
        <w:spacing w:before="140"/>
        <w:ind w:left="1375" w:right="1461" w:firstLine="420"/>
        <w:jc w:val="left"/>
        <w:rPr>
          <w:b/>
          <w:sz w:val="21"/>
        </w:rPr>
      </w:pPr>
      <w:r>
        <w:rPr>
          <w:b/>
          <w:spacing w:val="-2"/>
          <w:sz w:val="21"/>
        </w:rPr>
        <w:t>被保险人未履行前款约定的通知义务的，因保险标的的危险程度显著增加而发生的保险事故，保险人不承担赔偿责任。</w:t>
      </w:r>
    </w:p>
    <w:p w14:paraId="0847E3C5">
      <w:pPr>
        <w:spacing w:before="174"/>
        <w:ind w:left="1792" w:right="0" w:firstLine="0"/>
        <w:jc w:val="left"/>
        <w:rPr>
          <w:sz w:val="21"/>
        </w:rPr>
      </w:pPr>
      <w:r>
        <w:rPr>
          <w:b/>
          <w:spacing w:val="12"/>
          <w:sz w:val="21"/>
        </w:rPr>
        <w:t xml:space="preserve">第二十二条 </w:t>
      </w:r>
      <w:r>
        <w:rPr>
          <w:spacing w:val="-1"/>
          <w:sz w:val="21"/>
        </w:rPr>
        <w:t>知道保险事故发生后，被保险人应当：</w:t>
      </w:r>
    </w:p>
    <w:p w14:paraId="30479B5D">
      <w:pPr>
        <w:spacing w:before="195" w:line="273" w:lineRule="auto"/>
        <w:ind w:left="1375" w:right="1374" w:firstLine="420"/>
        <w:jc w:val="both"/>
        <w:rPr>
          <w:sz w:val="21"/>
        </w:rPr>
      </w:pPr>
      <w:r>
        <w:rPr>
          <w:spacing w:val="-4"/>
          <w:sz w:val="21"/>
        </w:rPr>
        <w:t>（一）尽力采取必要、合理的措施以修理、修复营业所用的受损的物质财产，尽快恢复</w:t>
      </w:r>
      <w:r>
        <w:rPr>
          <w:spacing w:val="-2"/>
          <w:sz w:val="21"/>
        </w:rPr>
        <w:t>营业以防止或减少因营业受到干扰或中断所造成的损失，</w:t>
      </w:r>
      <w:r>
        <w:rPr>
          <w:b/>
          <w:spacing w:val="-2"/>
          <w:sz w:val="21"/>
        </w:rPr>
        <w:t>否则，对因此扩大的损失，保险人不承担赔偿责任</w:t>
      </w:r>
      <w:r>
        <w:rPr>
          <w:spacing w:val="-2"/>
          <w:sz w:val="21"/>
        </w:rPr>
        <w:t>；</w:t>
      </w:r>
    </w:p>
    <w:p w14:paraId="3BCB406B">
      <w:pPr>
        <w:spacing w:before="159" w:line="273" w:lineRule="auto"/>
        <w:ind w:left="1375" w:right="1374" w:firstLine="420"/>
        <w:jc w:val="both"/>
        <w:rPr>
          <w:sz w:val="21"/>
        </w:rPr>
      </w:pPr>
      <w:r>
        <w:rPr>
          <w:spacing w:val="-4"/>
          <w:sz w:val="21"/>
        </w:rPr>
        <w:t>（二）立即通知保险人，并书面说明事故发生的原因、经过和损失情况；</w:t>
      </w:r>
      <w:r>
        <w:rPr>
          <w:b/>
          <w:spacing w:val="-4"/>
          <w:sz w:val="21"/>
        </w:rPr>
        <w:t>故意或者因重</w:t>
      </w:r>
      <w:r>
        <w:rPr>
          <w:b/>
          <w:spacing w:val="-2"/>
          <w:sz w:val="21"/>
        </w:rPr>
        <w:t>大过失未及时通知，致使保险事故的性质、原因、损失程度等难以确定的，保险人对无法</w:t>
      </w:r>
      <w:r>
        <w:rPr>
          <w:b/>
          <w:spacing w:val="-12"/>
          <w:sz w:val="21"/>
        </w:rPr>
        <w:t>确定的部分，不承担赔偿责任，</w:t>
      </w:r>
      <w:r>
        <w:rPr>
          <w:spacing w:val="-2"/>
          <w:sz w:val="21"/>
        </w:rPr>
        <w:t>但保险人通过其他途径已经及时知道或者应当及时知道保险事故发生的除外；</w:t>
      </w:r>
    </w:p>
    <w:p w14:paraId="6A506D7F">
      <w:pPr>
        <w:spacing w:before="159" w:line="273" w:lineRule="auto"/>
        <w:ind w:left="1375" w:right="1374" w:firstLine="420"/>
        <w:jc w:val="both"/>
        <w:rPr>
          <w:b/>
          <w:sz w:val="21"/>
        </w:rPr>
      </w:pPr>
      <w:r>
        <w:rPr>
          <w:spacing w:val="-4"/>
          <w:sz w:val="21"/>
        </w:rPr>
        <w:t>（三）保护事故现场，允许并且协助保险人进行事故原因和损失情况的调查，以及对被</w:t>
      </w:r>
      <w:r>
        <w:rPr>
          <w:spacing w:val="-2"/>
          <w:sz w:val="21"/>
        </w:rPr>
        <w:t>保险人相关的会计凭证和账表的检查；</w:t>
      </w:r>
      <w:r>
        <w:rPr>
          <w:b/>
          <w:spacing w:val="-2"/>
          <w:sz w:val="21"/>
        </w:rPr>
        <w:t>对于拒绝或者妨碍保险人进行上述调查或检查导致无法确定事故原因或核实损失情况的，保险人对无法确定或核实的部分不承担赔偿责任。</w:t>
      </w:r>
    </w:p>
    <w:p w14:paraId="6964EEEE">
      <w:pPr>
        <w:pStyle w:val="3"/>
        <w:spacing w:before="158"/>
        <w:ind w:left="1792"/>
      </w:pPr>
      <w:r>
        <w:rPr>
          <w:b/>
          <w:spacing w:val="10"/>
        </w:rPr>
        <w:t xml:space="preserve">第二十三条 </w:t>
      </w:r>
      <w:r>
        <w:rPr>
          <w:spacing w:val="-1"/>
        </w:rPr>
        <w:t>被保险人请求赔偿时，应向保险人提供下列证明和资料：</w:t>
      </w:r>
    </w:p>
    <w:p w14:paraId="61250B13">
      <w:pPr>
        <w:pStyle w:val="3"/>
        <w:spacing w:before="195"/>
        <w:ind w:left="1795"/>
      </w:pPr>
      <w:r>
        <w:rPr>
          <w:spacing w:val="-6"/>
        </w:rPr>
        <w:t>（一）</w:t>
      </w:r>
      <w:r>
        <w:rPr>
          <w:spacing w:val="-7"/>
        </w:rPr>
        <w:t>保险单正本、索赔申请、财产损失清单、技术鉴定证明、事故报告书、施救费用</w:t>
      </w:r>
    </w:p>
    <w:p w14:paraId="221C3DCD">
      <w:pPr>
        <w:pStyle w:val="3"/>
        <w:spacing w:after="0"/>
        <w:sectPr>
          <w:pgSz w:w="11910" w:h="16840"/>
          <w:pgMar w:top="1400" w:right="425" w:bottom="280" w:left="425" w:header="720" w:footer="720" w:gutter="0"/>
          <w:cols w:space="720" w:num="1"/>
        </w:sectPr>
      </w:pPr>
    </w:p>
    <w:p w14:paraId="0DC01883">
      <w:pPr>
        <w:pStyle w:val="3"/>
        <w:spacing w:before="39"/>
      </w:pPr>
      <w:r>
        <w:rPr>
          <w:spacing w:val="-3"/>
        </w:rPr>
        <w:t>发票、相关的会计凭证及账表、单据和有关部门的证明；</w:t>
      </w:r>
    </w:p>
    <w:p w14:paraId="7725521B">
      <w:pPr>
        <w:pStyle w:val="3"/>
        <w:spacing w:before="195" w:line="273" w:lineRule="auto"/>
        <w:ind w:right="1374" w:firstLine="420"/>
      </w:pPr>
      <w:r>
        <w:rPr>
          <w:spacing w:val="-4"/>
        </w:rPr>
        <w:t>（二）投保人、被保险人所能提供的与确认保险事故的性质、原因、损失程度等有关的</w:t>
      </w:r>
      <w:r>
        <w:rPr>
          <w:spacing w:val="-2"/>
        </w:rPr>
        <w:t>其他证明和资料。</w:t>
      </w:r>
    </w:p>
    <w:p w14:paraId="7DCE54BC">
      <w:pPr>
        <w:spacing w:before="158" w:line="273" w:lineRule="auto"/>
        <w:ind w:left="1375" w:right="1268" w:firstLine="420"/>
        <w:jc w:val="left"/>
        <w:rPr>
          <w:b/>
          <w:sz w:val="21"/>
        </w:rPr>
      </w:pPr>
      <w:r>
        <w:rPr>
          <w:b/>
          <w:spacing w:val="-2"/>
          <w:sz w:val="21"/>
        </w:rPr>
        <w:t>投保人、被保险人未履行前款约定的单证提供义务，导致保险人无法核实损失情况的，保险人对无法核实的部分不承担赔偿责任。</w:t>
      </w:r>
    </w:p>
    <w:p w14:paraId="358FB024">
      <w:pPr>
        <w:spacing w:before="157"/>
        <w:ind w:left="427" w:right="9" w:firstLine="0"/>
        <w:jc w:val="center"/>
        <w:rPr>
          <w:b/>
          <w:sz w:val="21"/>
        </w:rPr>
      </w:pPr>
      <w:r>
        <w:rPr>
          <w:b/>
          <w:spacing w:val="-4"/>
          <w:sz w:val="21"/>
        </w:rPr>
        <w:t>赔偿处理</w:t>
      </w:r>
    </w:p>
    <w:p w14:paraId="6A953077">
      <w:pPr>
        <w:spacing w:before="195" w:line="273" w:lineRule="auto"/>
        <w:ind w:left="1375" w:right="1374" w:firstLine="417"/>
        <w:jc w:val="left"/>
        <w:rPr>
          <w:b/>
          <w:sz w:val="21"/>
        </w:rPr>
      </w:pPr>
      <w:r>
        <w:rPr>
          <w:b/>
          <w:sz w:val="21"/>
        </w:rPr>
        <w:t>第二十四条 发生保险事故后，被保险人在物质损失保险合同项下取得赔款或其保险</w:t>
      </w:r>
      <w:r>
        <w:rPr>
          <w:b/>
          <w:spacing w:val="-2"/>
          <w:sz w:val="21"/>
        </w:rPr>
        <w:t>责任已获保险人认定，是保险人承担本保险合同项下赔偿责任的前提条件。</w:t>
      </w:r>
    </w:p>
    <w:p w14:paraId="40390FBF">
      <w:pPr>
        <w:pStyle w:val="3"/>
        <w:spacing w:before="158" w:line="273" w:lineRule="auto"/>
        <w:ind w:right="1280" w:firstLine="420"/>
      </w:pPr>
      <w:r>
        <w:rPr>
          <w:spacing w:val="-2"/>
        </w:rPr>
        <w:t>如被保险人因物质损失保险合同主险条款项下的免赔额而无法获得该合同项下的赔款，则不受本条前款约定所限。</w:t>
      </w:r>
    </w:p>
    <w:p w14:paraId="32A9080B">
      <w:pPr>
        <w:spacing w:before="157" w:line="273" w:lineRule="auto"/>
        <w:ind w:left="1375" w:right="1374" w:firstLine="417"/>
        <w:jc w:val="both"/>
        <w:rPr>
          <w:b/>
          <w:sz w:val="21"/>
        </w:rPr>
      </w:pPr>
      <w:r>
        <w:rPr>
          <w:b/>
          <w:sz w:val="21"/>
        </w:rPr>
        <w:t>第二十五条 赔偿期间内的毛利润损失为分别按照营业收入的减少和经营费用的增加</w:t>
      </w:r>
      <w:r>
        <w:rPr>
          <w:b/>
          <w:spacing w:val="-2"/>
          <w:sz w:val="21"/>
        </w:rPr>
        <w:t>计算的损失之和，扣除在赔偿期间内被保险人因保险事故的发生而从毛利润中减少或停止支付的费用：</w:t>
      </w:r>
    </w:p>
    <w:p w14:paraId="28D57C36">
      <w:pPr>
        <w:pStyle w:val="3"/>
        <w:spacing w:before="3" w:line="273" w:lineRule="auto"/>
        <w:ind w:right="1374" w:firstLine="420"/>
      </w:pPr>
      <w:r>
        <w:rPr>
          <w:spacing w:val="-2"/>
        </w:rPr>
        <w:t>（一</w:t>
      </w:r>
      <w:r>
        <w:rPr>
          <w:spacing w:val="-94"/>
        </w:rPr>
        <w:t>）</w:t>
      </w:r>
      <w:r>
        <w:rPr>
          <w:spacing w:val="-2"/>
        </w:rPr>
        <w:t>因营业收入减少导致的损失为毛利润率乘以赔偿期间内的实际营业收入与标准营业收入的差额，即：</w:t>
      </w:r>
    </w:p>
    <w:p w14:paraId="2CC546AB">
      <w:pPr>
        <w:pStyle w:val="3"/>
        <w:spacing w:before="157"/>
        <w:ind w:left="1795"/>
      </w:pPr>
      <w:r>
        <w:rPr>
          <w:spacing w:val="-2"/>
        </w:rPr>
        <w:t>毛利润率×（标准营业收入－赔偿期间内的实际营业收入</w:t>
      </w:r>
      <w:r>
        <w:rPr>
          <w:spacing w:val="-10"/>
        </w:rPr>
        <w:t>）</w:t>
      </w:r>
    </w:p>
    <w:p w14:paraId="01A2908E">
      <w:pPr>
        <w:spacing w:before="195" w:line="273" w:lineRule="auto"/>
        <w:ind w:left="1315" w:right="1374" w:firstLine="420"/>
        <w:jc w:val="left"/>
        <w:rPr>
          <w:b/>
          <w:sz w:val="21"/>
        </w:rPr>
      </w:pPr>
      <w:r>
        <w:rPr>
          <w:b/>
          <w:spacing w:val="-2"/>
          <w:sz w:val="21"/>
        </w:rPr>
        <w:t>本保险合同所称营业收入是指被保险人在营业过程中，因销售商品、提供劳务或者让渡资产使用权等实现的收入金额。</w:t>
      </w:r>
    </w:p>
    <w:p w14:paraId="1A91B7B4">
      <w:pPr>
        <w:spacing w:before="158" w:line="273" w:lineRule="auto"/>
        <w:ind w:left="1315" w:right="1374" w:firstLine="420"/>
        <w:jc w:val="left"/>
        <w:rPr>
          <w:b/>
          <w:sz w:val="21"/>
        </w:rPr>
      </w:pPr>
      <w:r>
        <w:rPr>
          <w:b/>
          <w:spacing w:val="3"/>
          <w:w w:val="99"/>
          <w:sz w:val="21"/>
        </w:rPr>
        <w:t>本保险合同所称毛利润率是指发生物质保险损失之日前最近一个完整的会计年度内的</w:t>
      </w:r>
      <w:r>
        <w:rPr>
          <w:b/>
          <w:w w:val="99"/>
          <w:sz w:val="21"/>
        </w:rPr>
        <w:t>毛利润与营业收入的比率。</w:t>
      </w:r>
    </w:p>
    <w:p w14:paraId="556108F8">
      <w:pPr>
        <w:spacing w:before="157" w:line="273" w:lineRule="auto"/>
        <w:ind w:left="1315" w:right="1374" w:firstLine="420"/>
        <w:jc w:val="left"/>
        <w:rPr>
          <w:b/>
          <w:sz w:val="21"/>
        </w:rPr>
      </w:pPr>
      <w:r>
        <w:rPr>
          <w:b/>
          <w:spacing w:val="3"/>
          <w:w w:val="99"/>
          <w:sz w:val="21"/>
        </w:rPr>
        <w:t>本保险合同所称标准营业收入是指发生物质保险损失之日前十二个月中与赔偿期间对</w:t>
      </w:r>
      <w:r>
        <w:rPr>
          <w:b/>
          <w:w w:val="99"/>
          <w:sz w:val="21"/>
        </w:rPr>
        <w:t>应的日历期间的营业收入。</w:t>
      </w:r>
    </w:p>
    <w:p w14:paraId="03C781E1">
      <w:pPr>
        <w:spacing w:before="158" w:line="273" w:lineRule="auto"/>
        <w:ind w:left="1315" w:right="1377" w:firstLine="420"/>
        <w:jc w:val="left"/>
        <w:rPr>
          <w:b/>
          <w:sz w:val="21"/>
        </w:rPr>
      </w:pPr>
      <w:r>
        <w:rPr>
          <w:b/>
          <w:spacing w:val="-10"/>
          <w:sz w:val="21"/>
        </w:rPr>
        <w:t>在赔偿期间内，被保险人或他人代其在保险合同载明的营业处所以外的地点从事保险合</w:t>
      </w:r>
      <w:r>
        <w:rPr>
          <w:b/>
          <w:spacing w:val="-2"/>
          <w:sz w:val="21"/>
        </w:rPr>
        <w:t>同载明的经营业务而取得的营业收入，应计算在赔偿期间内的实际营业收入内。</w:t>
      </w:r>
    </w:p>
    <w:p w14:paraId="0B4FE97B">
      <w:pPr>
        <w:spacing w:before="158" w:line="273" w:lineRule="auto"/>
        <w:ind w:left="1375" w:right="1374" w:firstLine="420"/>
        <w:jc w:val="both"/>
        <w:rPr>
          <w:b/>
          <w:sz w:val="21"/>
        </w:rPr>
      </w:pPr>
      <w:r>
        <w:rPr>
          <w:spacing w:val="-2"/>
          <w:sz w:val="21"/>
        </w:rPr>
        <w:t>（二</w:t>
      </w:r>
      <w:r>
        <w:rPr>
          <w:spacing w:val="-94"/>
          <w:sz w:val="21"/>
        </w:rPr>
        <w:t>）</w:t>
      </w:r>
      <w:r>
        <w:rPr>
          <w:spacing w:val="-2"/>
          <w:sz w:val="21"/>
        </w:rPr>
        <w:t>经营费用增加导致的损失是指被保险人专门为避免或降低赔偿期间内营业收入的</w:t>
      </w:r>
      <w:r>
        <w:rPr>
          <w:spacing w:val="-4"/>
          <w:sz w:val="21"/>
        </w:rPr>
        <w:t>减少而额外支出的</w:t>
      </w:r>
      <w:r>
        <w:rPr>
          <w:b/>
          <w:spacing w:val="-4"/>
          <w:sz w:val="21"/>
        </w:rPr>
        <w:t>必要的、合理的</w:t>
      </w:r>
      <w:r>
        <w:rPr>
          <w:spacing w:val="-4"/>
          <w:sz w:val="21"/>
        </w:rPr>
        <w:t>经营费用或成本；如果不予支出，则赔偿期间内的营业收</w:t>
      </w:r>
      <w:r>
        <w:rPr>
          <w:spacing w:val="-2"/>
          <w:sz w:val="21"/>
        </w:rPr>
        <w:t>入就会因保险事故的发生而降低。</w:t>
      </w:r>
      <w:r>
        <w:rPr>
          <w:b/>
          <w:spacing w:val="-2"/>
          <w:sz w:val="21"/>
        </w:rPr>
        <w:t>但该项损失以不超过毛利润率乘以因花费该经营费用而避免降低的营业收入为限。</w:t>
      </w:r>
    </w:p>
    <w:p w14:paraId="1634F9FD">
      <w:pPr>
        <w:pStyle w:val="3"/>
        <w:spacing w:before="159" w:line="273" w:lineRule="auto"/>
        <w:ind w:right="1280" w:firstLine="420"/>
      </w:pPr>
      <w:r>
        <w:rPr>
          <w:spacing w:val="2"/>
          <w:w w:val="99"/>
        </w:rPr>
        <w:t>若投保人确定的维持费用</w:t>
      </w:r>
      <w:r>
        <w:rPr>
          <w:b/>
          <w:spacing w:val="3"/>
          <w:w w:val="99"/>
        </w:rPr>
        <w:t>仅包括营业所需的部分维持费用</w:t>
      </w:r>
      <w:r>
        <w:rPr>
          <w:spacing w:val="1"/>
          <w:w w:val="99"/>
        </w:rPr>
        <w:t>，则保险人对额外增加的经</w:t>
      </w:r>
      <w:r>
        <w:rPr>
          <w:spacing w:val="-1"/>
          <w:w w:val="99"/>
        </w:rPr>
        <w:t>营费用的赔偿金额按照该经营费用乘以毛利润与毛利润加上未承保的维持费用的比例计算，即：</w:t>
      </w:r>
    </w:p>
    <w:p w14:paraId="4C17A16A">
      <w:pPr>
        <w:pStyle w:val="3"/>
        <w:spacing w:before="158"/>
        <w:ind w:left="1795"/>
      </w:pPr>
      <w:r>
        <w:rPr>
          <w:spacing w:val="-2"/>
        </w:rPr>
        <w:t>增加的经营费用×毛利润/（毛利润+未承保的维持费用</w:t>
      </w:r>
      <w:r>
        <w:rPr>
          <w:spacing w:val="-10"/>
        </w:rPr>
        <w:t>）</w:t>
      </w:r>
    </w:p>
    <w:p w14:paraId="156F0E28">
      <w:pPr>
        <w:spacing w:before="195" w:line="273" w:lineRule="auto"/>
        <w:ind w:left="1375" w:right="1374" w:firstLine="417"/>
        <w:jc w:val="both"/>
        <w:rPr>
          <w:sz w:val="21"/>
        </w:rPr>
      </w:pPr>
      <w:r>
        <w:rPr>
          <w:b/>
          <w:spacing w:val="6"/>
          <w:sz w:val="21"/>
        </w:rPr>
        <w:t xml:space="preserve">第二十六条 </w:t>
      </w:r>
      <w:r>
        <w:rPr>
          <w:sz w:val="21"/>
        </w:rPr>
        <w:t>若最大赔偿期小于或等于十二个月，</w:t>
      </w:r>
      <w:r>
        <w:rPr>
          <w:b/>
          <w:sz w:val="21"/>
        </w:rPr>
        <w:t>且保险金额低于毛利润率与年度营</w:t>
      </w:r>
      <w:r>
        <w:rPr>
          <w:b/>
          <w:spacing w:val="-2"/>
          <w:sz w:val="21"/>
        </w:rPr>
        <w:t>业收入的乘积</w:t>
      </w:r>
      <w:r>
        <w:rPr>
          <w:spacing w:val="-2"/>
          <w:sz w:val="21"/>
        </w:rPr>
        <w:t>，则保险人以毛利润损失×保险金额/（毛利润率×年度营业收入）作为赔偿金额的计算依据，即：</w:t>
      </w:r>
    </w:p>
    <w:p w14:paraId="42D0E38C">
      <w:pPr>
        <w:pStyle w:val="3"/>
        <w:spacing w:before="158"/>
        <w:ind w:left="1795"/>
      </w:pPr>
      <w:r>
        <w:rPr>
          <w:spacing w:val="-2"/>
        </w:rPr>
        <w:t>赔偿金额的计算依据＝毛利润损失×保险金额/（毛利润率×年度营业收入</w:t>
      </w:r>
      <w:r>
        <w:rPr>
          <w:spacing w:val="-10"/>
        </w:rPr>
        <w:t>）</w:t>
      </w:r>
    </w:p>
    <w:p w14:paraId="3D1150C7">
      <w:pPr>
        <w:pStyle w:val="3"/>
        <w:spacing w:after="0"/>
        <w:sectPr>
          <w:pgSz w:w="11910" w:h="16840"/>
          <w:pgMar w:top="1400" w:right="425" w:bottom="280" w:left="425" w:header="720" w:footer="720" w:gutter="0"/>
          <w:cols w:space="720" w:num="1"/>
        </w:sectPr>
      </w:pPr>
    </w:p>
    <w:p w14:paraId="2551415F">
      <w:pPr>
        <w:pStyle w:val="3"/>
        <w:spacing w:before="39" w:line="273" w:lineRule="auto"/>
        <w:ind w:right="1374" w:firstLine="420"/>
        <w:jc w:val="both"/>
      </w:pPr>
      <w:r>
        <w:rPr>
          <w:spacing w:val="-10"/>
        </w:rPr>
        <w:t>若最大赔偿期大于十二个月，且保险金额低于毛利润率与年度营业收入及最大赔偿期与</w:t>
      </w:r>
      <w:r>
        <w:rPr>
          <w:spacing w:val="-2"/>
        </w:rPr>
        <w:t>十二个月的比例的乘积，则保险人以毛利润损失×保险金额/（毛利润率×年度营业收入×最大赔偿期/12）作为赔偿金额的计算依据，即：</w:t>
      </w:r>
    </w:p>
    <w:p w14:paraId="6CD1B69F">
      <w:pPr>
        <w:pStyle w:val="3"/>
        <w:spacing w:before="159" w:line="273" w:lineRule="auto"/>
        <w:ind w:right="1374" w:firstLine="420"/>
      </w:pPr>
      <w:r>
        <w:rPr>
          <w:spacing w:val="-2"/>
        </w:rPr>
        <w:t>赔偿金额的计算依据＝毛利润损失×保险金额/（毛利润率×年度营业收入×最大赔偿期/12）</w:t>
      </w:r>
    </w:p>
    <w:p w14:paraId="1BA96288">
      <w:pPr>
        <w:spacing w:before="157"/>
        <w:ind w:left="418" w:right="87" w:firstLine="0"/>
        <w:jc w:val="center"/>
        <w:rPr>
          <w:b/>
          <w:sz w:val="21"/>
        </w:rPr>
      </w:pPr>
      <w:r>
        <w:rPr>
          <w:b/>
          <w:spacing w:val="-3"/>
          <w:sz w:val="21"/>
        </w:rPr>
        <w:t>本保险合同所称年度营业收入是指发生物质保险损失之日前十二个月内的营业收入。</w:t>
      </w:r>
    </w:p>
    <w:p w14:paraId="753D4A83">
      <w:pPr>
        <w:pStyle w:val="3"/>
        <w:spacing w:before="195" w:line="273" w:lineRule="auto"/>
        <w:ind w:right="1163" w:firstLine="420"/>
      </w:pPr>
      <w:r>
        <w:rPr>
          <w:spacing w:val="-2"/>
        </w:rPr>
        <w:t>如果保险金额高于或等于毛利润率与年度营业收入的乘积或毛利润率与年度营业收入</w:t>
      </w:r>
      <w:r>
        <w:rPr>
          <w:spacing w:val="40"/>
        </w:rPr>
        <w:t xml:space="preserve">  </w:t>
      </w:r>
      <w:r>
        <w:rPr>
          <w:spacing w:val="-7"/>
        </w:rPr>
        <w:t>及最大赔偿期与十二个月的比例的乘积，保险人直接以毛利润损失作为赔偿金额的计算依据。</w:t>
      </w:r>
    </w:p>
    <w:p w14:paraId="22264231">
      <w:pPr>
        <w:pStyle w:val="3"/>
        <w:spacing w:before="158" w:line="273" w:lineRule="auto"/>
        <w:ind w:right="1374" w:firstLine="417"/>
        <w:jc w:val="both"/>
      </w:pPr>
      <w:r>
        <w:rPr>
          <w:b/>
          <w:spacing w:val="-4"/>
        </w:rPr>
        <w:t xml:space="preserve">第二十七条 </w:t>
      </w:r>
      <w:r>
        <w:t>被保险人、保险人应根据被保险人营业趋势及情况的变化、物质保险损失</w:t>
      </w:r>
      <w:r>
        <w:rPr>
          <w:spacing w:val="-2"/>
        </w:rPr>
        <w:t>发生前后营业受影响的情况或若未发生物质保险损失原本会影响营业的其他情况对毛利润</w:t>
      </w:r>
      <w:r>
        <w:rPr>
          <w:spacing w:val="-4"/>
        </w:rPr>
        <w:t>率、标准营业收入以及年度营业收入进行必要的调整，使调整后的数额尽可能合理地接近在</w:t>
      </w:r>
      <w:r>
        <w:rPr>
          <w:spacing w:val="-2"/>
        </w:rPr>
        <w:t>赔偿期间内若未发生损失被保险人原本可以取得的经营成果。</w:t>
      </w:r>
    </w:p>
    <w:p w14:paraId="7D334EDB">
      <w:pPr>
        <w:spacing w:before="159" w:line="273" w:lineRule="auto"/>
        <w:ind w:left="1375" w:right="1374" w:firstLine="417"/>
        <w:jc w:val="left"/>
        <w:rPr>
          <w:b/>
          <w:sz w:val="21"/>
        </w:rPr>
      </w:pPr>
      <w:r>
        <w:rPr>
          <w:b/>
          <w:sz w:val="21"/>
        </w:rPr>
        <w:t>第二十八条 若保险合同约定了免赔额，保险人按照第二十五条、第二十六条计算的</w:t>
      </w:r>
      <w:r>
        <w:rPr>
          <w:b/>
          <w:spacing w:val="-2"/>
          <w:sz w:val="21"/>
        </w:rPr>
        <w:t>赔偿金额的计算依据扣除保险合同约定的免赔额计算毛利润损失赔偿金额。</w:t>
      </w:r>
    </w:p>
    <w:p w14:paraId="3D1DDE6F">
      <w:pPr>
        <w:spacing w:before="157" w:line="273" w:lineRule="auto"/>
        <w:ind w:left="1315" w:right="1374" w:firstLine="420"/>
        <w:jc w:val="left"/>
        <w:rPr>
          <w:b/>
          <w:sz w:val="21"/>
        </w:rPr>
      </w:pPr>
      <w:r>
        <w:rPr>
          <w:b/>
          <w:spacing w:val="-8"/>
          <w:sz w:val="21"/>
        </w:rPr>
        <w:t>若保险合同约定了免赔期，则免赔额为免赔期和赔偿期间的比例与按照本条款第二十五</w:t>
      </w:r>
      <w:r>
        <w:rPr>
          <w:b/>
          <w:spacing w:val="-2"/>
          <w:sz w:val="21"/>
        </w:rPr>
        <w:t>条计算出的毛利润损失的乘积。</w:t>
      </w:r>
    </w:p>
    <w:p w14:paraId="0427F4AB">
      <w:pPr>
        <w:pStyle w:val="3"/>
        <w:spacing w:before="158" w:line="273" w:lineRule="auto"/>
        <w:ind w:right="1374" w:firstLine="417"/>
      </w:pPr>
      <w:r>
        <w:rPr>
          <w:b/>
          <w:spacing w:val="6"/>
        </w:rPr>
        <w:t xml:space="preserve">第二十九条 </w:t>
      </w:r>
      <w:r>
        <w:rPr>
          <w:spacing w:val="-5"/>
        </w:rPr>
        <w:t>因保险事故而发生的保险责任约定的审计费用，保险人按费用实际发生数</w:t>
      </w:r>
      <w:r>
        <w:rPr>
          <w:spacing w:val="-2"/>
        </w:rPr>
        <w:t>予以赔偿，但最高不超过保险合同中载明的相应赔偿限额。</w:t>
      </w:r>
    </w:p>
    <w:p w14:paraId="6B013509">
      <w:pPr>
        <w:spacing w:before="157" w:line="273" w:lineRule="auto"/>
        <w:ind w:left="1375" w:right="1372" w:firstLine="417"/>
        <w:jc w:val="both"/>
        <w:rPr>
          <w:b/>
          <w:sz w:val="21"/>
        </w:rPr>
      </w:pPr>
      <w:r>
        <w:rPr>
          <w:b/>
          <w:spacing w:val="8"/>
          <w:sz w:val="21"/>
        </w:rPr>
        <w:t xml:space="preserve">第三十条 </w:t>
      </w:r>
      <w:r>
        <w:rPr>
          <w:sz w:val="21"/>
        </w:rPr>
        <w:t>被保险人在请求赔偿时应当如实向保险人说明与本保险有关的其他保险合</w:t>
      </w:r>
      <w:r>
        <w:rPr>
          <w:spacing w:val="-2"/>
          <w:sz w:val="21"/>
        </w:rPr>
        <w:t>同的情况。保险事故发生时，</w:t>
      </w:r>
      <w:r>
        <w:rPr>
          <w:b/>
          <w:spacing w:val="-2"/>
          <w:sz w:val="21"/>
        </w:rPr>
        <w:t>如果存在重复保险，保险人按照本保险合同的相应保险金额与其他保险合同及本保险合同相应保险金额总和的比例承担赔偿责任。</w:t>
      </w:r>
    </w:p>
    <w:p w14:paraId="2BF13F4D">
      <w:pPr>
        <w:spacing w:before="159" w:line="273" w:lineRule="auto"/>
        <w:ind w:left="1375" w:right="1374" w:firstLine="420"/>
        <w:jc w:val="left"/>
        <w:rPr>
          <w:b/>
          <w:sz w:val="21"/>
        </w:rPr>
      </w:pPr>
      <w:r>
        <w:rPr>
          <w:b/>
          <w:spacing w:val="-2"/>
          <w:sz w:val="21"/>
        </w:rPr>
        <w:t>其他保险人应承担的赔偿金额，保险人不负责垫付。若被保险人未如实告知导致保险人多支付赔偿金的，保险人有权向被保险人追回多支付的部分。</w:t>
      </w:r>
    </w:p>
    <w:p w14:paraId="25317D3B">
      <w:pPr>
        <w:pStyle w:val="3"/>
        <w:spacing w:before="157" w:line="273" w:lineRule="auto"/>
        <w:ind w:right="1374" w:firstLine="417"/>
        <w:jc w:val="both"/>
      </w:pPr>
      <w:r>
        <w:rPr>
          <w:b/>
          <w:spacing w:val="-4"/>
        </w:rPr>
        <w:t xml:space="preserve">第三十一条 </w:t>
      </w:r>
      <w:r>
        <w:t>发生保险责任范围内的损失，应由有关责任方负责赔偿的，保险人自向被</w:t>
      </w:r>
      <w:r>
        <w:rPr>
          <w:spacing w:val="-10"/>
        </w:rPr>
        <w:t>保险人赔偿保险金之日起，在赔偿金额范围内代位行使被保险人对有关责任方请求赔偿的权</w:t>
      </w:r>
      <w:r>
        <w:rPr>
          <w:spacing w:val="-2"/>
        </w:rPr>
        <w:t>利，被保险人应当向保险人提供必要的文件和所知道的有关情况。</w:t>
      </w:r>
    </w:p>
    <w:p w14:paraId="60534864">
      <w:pPr>
        <w:spacing w:before="137"/>
        <w:ind w:left="1375" w:right="1374" w:firstLine="420"/>
        <w:jc w:val="left"/>
        <w:rPr>
          <w:b/>
          <w:sz w:val="21"/>
        </w:rPr>
      </w:pPr>
      <w:r>
        <w:rPr>
          <w:b/>
          <w:spacing w:val="-2"/>
          <w:sz w:val="21"/>
        </w:rPr>
        <w:t>被保险人已经从有关责任方取得赔偿的，保险人赔偿保险金时，可以相应扣减被保险人已从有关责任方取得的赔偿金额。</w:t>
      </w:r>
    </w:p>
    <w:p w14:paraId="7AF7E6C8">
      <w:pPr>
        <w:spacing w:before="174" w:line="273" w:lineRule="auto"/>
        <w:ind w:left="1375" w:right="1374" w:firstLine="420"/>
        <w:jc w:val="both"/>
        <w:rPr>
          <w:sz w:val="21"/>
        </w:rPr>
      </w:pPr>
      <w:r>
        <w:rPr>
          <w:b/>
          <w:spacing w:val="-2"/>
          <w:sz w:val="21"/>
        </w:rPr>
        <w:t>保险事故发生后，在保险人未赔偿保险金之前，被保险人放弃对有关责任方请求赔偿</w:t>
      </w:r>
      <w:r>
        <w:rPr>
          <w:b/>
          <w:spacing w:val="-4"/>
          <w:sz w:val="21"/>
        </w:rPr>
        <w:t>权利的，保险人不承担赔偿责任</w:t>
      </w:r>
      <w:r>
        <w:rPr>
          <w:spacing w:val="-4"/>
          <w:sz w:val="21"/>
        </w:rPr>
        <w:t>；保险人向被保险人赔偿保险金后，被保险人未经保险人同</w:t>
      </w:r>
      <w:r>
        <w:rPr>
          <w:spacing w:val="-2"/>
          <w:sz w:val="21"/>
        </w:rPr>
        <w:t>意放弃对有关责任方请求赔偿权利的，该行为无效；</w:t>
      </w:r>
      <w:r>
        <w:rPr>
          <w:b/>
          <w:spacing w:val="-2"/>
          <w:sz w:val="21"/>
        </w:rPr>
        <w:t>由于被保险人故意或者因重大过失致使保险人不能行使代位请求赔偿的权利的，保险人可以扣减或者要求返还相应的保险金</w:t>
      </w:r>
      <w:r>
        <w:rPr>
          <w:spacing w:val="-2"/>
          <w:sz w:val="21"/>
        </w:rPr>
        <w:t>。</w:t>
      </w:r>
    </w:p>
    <w:p w14:paraId="2BC3FF55">
      <w:pPr>
        <w:pStyle w:val="3"/>
        <w:spacing w:before="159" w:line="273" w:lineRule="auto"/>
        <w:ind w:right="1374" w:firstLine="417"/>
        <w:jc w:val="both"/>
      </w:pPr>
      <w:r>
        <w:rPr>
          <w:b/>
        </w:rPr>
        <w:t xml:space="preserve">第三十二条 </w:t>
      </w:r>
      <w:r>
        <w:rPr>
          <w:spacing w:val="-9"/>
        </w:rPr>
        <w:t>保险人履行赔偿义务后，本保险合同的保险金额自物质保险损失发生之日</w:t>
      </w:r>
      <w:r>
        <w:rPr>
          <w:spacing w:val="-4"/>
        </w:rPr>
        <w:t>起按保险人的赔偿金额相应减少，保险人不退还保险金额减少部分的保险费。如投保人请求</w:t>
      </w:r>
      <w:r>
        <w:rPr>
          <w:spacing w:val="-12"/>
        </w:rPr>
        <w:t>恢复至原保险金额，应按原约定的保险费率另行支付恢复部分从投保人请求的恢复日期起至</w:t>
      </w:r>
      <w:r>
        <w:rPr>
          <w:spacing w:val="-2"/>
        </w:rPr>
        <w:t>保险期间届满之日止按日比例计算的保险费。</w:t>
      </w:r>
    </w:p>
    <w:p w14:paraId="5996E387">
      <w:pPr>
        <w:pStyle w:val="3"/>
        <w:spacing w:before="159" w:line="273" w:lineRule="auto"/>
        <w:ind w:right="1374" w:firstLine="417"/>
      </w:pPr>
      <w:r>
        <w:rPr>
          <w:b/>
          <w:spacing w:val="6"/>
        </w:rPr>
        <w:t xml:space="preserve">第三十三条 </w:t>
      </w:r>
      <w:r>
        <w:rPr>
          <w:spacing w:val="-4"/>
        </w:rPr>
        <w:t>被保险人向保险人请求赔偿保险金的诉讼时效期间为二年，自其知道或者</w:t>
      </w:r>
      <w:r>
        <w:rPr>
          <w:spacing w:val="-2"/>
        </w:rPr>
        <w:t>应当知道保险事故发生之日起计算。</w:t>
      </w:r>
    </w:p>
    <w:p w14:paraId="7F5A2611">
      <w:pPr>
        <w:pStyle w:val="3"/>
        <w:spacing w:after="0" w:line="273" w:lineRule="auto"/>
        <w:sectPr>
          <w:pgSz w:w="11910" w:h="16840"/>
          <w:pgMar w:top="1400" w:right="425" w:bottom="280" w:left="425" w:header="720" w:footer="720" w:gutter="0"/>
          <w:cols w:space="720" w:num="1"/>
        </w:sectPr>
      </w:pPr>
    </w:p>
    <w:p w14:paraId="24B819A5">
      <w:pPr>
        <w:spacing w:before="39"/>
        <w:ind w:left="418" w:right="419" w:firstLine="0"/>
        <w:jc w:val="center"/>
        <w:rPr>
          <w:b/>
          <w:sz w:val="21"/>
        </w:rPr>
      </w:pPr>
      <w:r>
        <w:rPr>
          <w:b/>
          <w:spacing w:val="-3"/>
          <w:sz w:val="21"/>
        </w:rPr>
        <w:t>争议处理和法律适用</w:t>
      </w:r>
    </w:p>
    <w:p w14:paraId="16F72249">
      <w:pPr>
        <w:pStyle w:val="3"/>
        <w:spacing w:before="195" w:line="273" w:lineRule="auto"/>
        <w:ind w:right="1374" w:firstLine="417"/>
        <w:jc w:val="both"/>
      </w:pPr>
      <w:r>
        <w:rPr>
          <w:b/>
          <w:spacing w:val="-4"/>
        </w:rPr>
        <w:t xml:space="preserve">第三十四条 </w:t>
      </w:r>
      <w:r>
        <w:t>因履行本保险合同发生的争议，由当事人协商解决。协商不成的，提交保</w:t>
      </w:r>
      <w:r>
        <w:rPr>
          <w:spacing w:val="-4"/>
        </w:rPr>
        <w:t>险合同载明的仲裁机构仲裁；保险合同未载明仲裁机构且争议发生后未达成仲裁协议的，可</w:t>
      </w:r>
      <w:r>
        <w:rPr>
          <w:spacing w:val="-2"/>
        </w:rPr>
        <w:t>向人民法院起诉。</w:t>
      </w:r>
    </w:p>
    <w:p w14:paraId="232271CA">
      <w:pPr>
        <w:spacing w:before="159" w:line="273" w:lineRule="auto"/>
        <w:ind w:left="1375" w:right="1374" w:firstLine="417"/>
        <w:jc w:val="both"/>
        <w:rPr>
          <w:sz w:val="21"/>
        </w:rPr>
      </w:pPr>
      <w:r>
        <w:rPr>
          <w:b/>
          <w:sz w:val="21"/>
        </w:rPr>
        <w:t xml:space="preserve">第三十五条 </w:t>
      </w:r>
      <w:r>
        <w:rPr>
          <w:spacing w:val="-4"/>
          <w:sz w:val="21"/>
        </w:rPr>
        <w:t>与本保险合同有关的以及履行本保险合同产生的一切争议，适用中华人民</w:t>
      </w:r>
      <w:r>
        <w:rPr>
          <w:spacing w:val="-2"/>
          <w:sz w:val="21"/>
        </w:rPr>
        <w:t>共和国法律（</w:t>
      </w:r>
      <w:r>
        <w:rPr>
          <w:b/>
          <w:spacing w:val="-2"/>
          <w:sz w:val="21"/>
        </w:rPr>
        <w:t>不包括港澳台地区法律</w:t>
      </w:r>
      <w:r>
        <w:rPr>
          <w:spacing w:val="-2"/>
          <w:sz w:val="21"/>
        </w:rPr>
        <w:t>）。</w:t>
      </w:r>
    </w:p>
    <w:p w14:paraId="22CCCC80">
      <w:pPr>
        <w:spacing w:before="157"/>
        <w:ind w:left="418" w:right="418" w:firstLine="0"/>
        <w:jc w:val="center"/>
        <w:rPr>
          <w:b/>
          <w:sz w:val="21"/>
        </w:rPr>
      </w:pPr>
      <w:r>
        <w:rPr>
          <w:b/>
          <w:spacing w:val="-4"/>
          <w:sz w:val="21"/>
        </w:rPr>
        <w:t>其他事项</w:t>
      </w:r>
    </w:p>
    <w:p w14:paraId="03A64108">
      <w:pPr>
        <w:spacing w:before="195" w:line="273" w:lineRule="auto"/>
        <w:ind w:left="1375" w:right="1374" w:firstLine="417"/>
        <w:jc w:val="both"/>
        <w:rPr>
          <w:b/>
          <w:sz w:val="21"/>
        </w:rPr>
      </w:pPr>
      <w:r>
        <w:rPr>
          <w:b/>
          <w:spacing w:val="6"/>
          <w:sz w:val="21"/>
        </w:rPr>
        <w:t xml:space="preserve">第三十六条 </w:t>
      </w:r>
      <w:r>
        <w:rPr>
          <w:sz w:val="21"/>
        </w:rPr>
        <w:t>若被保险人聘请的注册会计师证明被保险人在与保险期间重合程度最高</w:t>
      </w:r>
      <w:r>
        <w:rPr>
          <w:spacing w:val="-4"/>
          <w:sz w:val="21"/>
        </w:rPr>
        <w:t>的一个会计年度内的毛利润（若最大赔偿期大于十二个月，则该毛利润金额应按照最大赔偿期与十二个月的比例扩大后计算）少于投保的保险金额，则被保险人可以在保险期间届满后</w:t>
      </w:r>
      <w:r>
        <w:rPr>
          <w:spacing w:val="-7"/>
          <w:sz w:val="21"/>
        </w:rPr>
        <w:t>六个月内向保险人提供书面退还多余保险费的申请，保险人按照保险金额减去前述毛利润的</w:t>
      </w:r>
      <w:r>
        <w:rPr>
          <w:spacing w:val="-2"/>
          <w:sz w:val="21"/>
        </w:rPr>
        <w:t>差额与保险金额的比例计算退还差额部分的保险费，</w:t>
      </w:r>
      <w:r>
        <w:rPr>
          <w:b/>
          <w:spacing w:val="-2"/>
          <w:sz w:val="21"/>
        </w:rPr>
        <w:t>但保险人退还保险费的比例最高不得超过保险期间内对该项保险金额所交保险费的百分之五十。</w:t>
      </w:r>
    </w:p>
    <w:p w14:paraId="20AB2403">
      <w:pPr>
        <w:spacing w:before="161" w:line="273" w:lineRule="auto"/>
        <w:ind w:left="1375" w:right="1374" w:firstLine="420"/>
        <w:jc w:val="left"/>
        <w:rPr>
          <w:b/>
          <w:sz w:val="21"/>
        </w:rPr>
      </w:pPr>
      <w:r>
        <w:rPr>
          <w:b/>
          <w:spacing w:val="-2"/>
          <w:sz w:val="21"/>
        </w:rPr>
        <w:t>若被保险人在保险期间内因保险事故发生索赔，则应从保险金额中扣除保险人因此而支付的赔款金额后，再按照前款约定计算应退还的保险费。</w:t>
      </w:r>
    </w:p>
    <w:p w14:paraId="237FCCF8">
      <w:pPr>
        <w:pStyle w:val="3"/>
        <w:spacing w:before="157" w:line="273" w:lineRule="auto"/>
        <w:ind w:right="1374" w:firstLine="417"/>
      </w:pPr>
      <w:r>
        <w:rPr>
          <w:b/>
          <w:spacing w:val="5"/>
        </w:rPr>
        <w:t xml:space="preserve">第三十七条 </w:t>
      </w:r>
      <w:r>
        <w:rPr>
          <w:spacing w:val="-2"/>
        </w:rPr>
        <w:t>保险责任开始前，投保人要求解除保险合同的，应当按本保险合同的约定向保险人支付退保手续费，保险人应当退还剩余部分保险费。</w:t>
      </w:r>
    </w:p>
    <w:p w14:paraId="335BCCC4">
      <w:pPr>
        <w:pStyle w:val="3"/>
        <w:spacing w:before="158" w:line="273" w:lineRule="auto"/>
        <w:ind w:right="1280" w:firstLine="420"/>
      </w:pPr>
      <w:r>
        <w:rPr>
          <w:spacing w:val="-2"/>
        </w:rPr>
        <w:t>保险责任开始后，投保人要求解除保险合同的，自通知保险人之日起，保险合同解除，保险人按本保险合同所附《短期费率表》计收保险责任开始之日起至合同解除之日止期间的保险费，并退还剩余部分保险费。</w:t>
      </w:r>
    </w:p>
    <w:p w14:paraId="2DE7B9B8">
      <w:pPr>
        <w:pStyle w:val="3"/>
        <w:spacing w:before="158" w:line="273" w:lineRule="auto"/>
        <w:ind w:right="1374" w:firstLine="420"/>
        <w:jc w:val="both"/>
      </w:pPr>
      <w:r>
        <w:rPr>
          <w:spacing w:val="-4"/>
        </w:rPr>
        <w:t>保险责任开始后，保险人依法要求解除保险合同的，可提前十五日向投保人发出解约通</w:t>
      </w:r>
      <w:r>
        <w:rPr>
          <w:spacing w:val="-11"/>
        </w:rPr>
        <w:t>知书解除本保险合同，保险人按日比例计收保险责任开始之日起至合同解除之日止期间的保</w:t>
      </w:r>
      <w:r>
        <w:rPr>
          <w:spacing w:val="-2"/>
        </w:rPr>
        <w:t>险费，并退还剩余部分保险费。</w:t>
      </w:r>
    </w:p>
    <w:p w14:paraId="34C37B38">
      <w:pPr>
        <w:spacing w:before="159"/>
        <w:ind w:left="418" w:right="419" w:firstLine="0"/>
        <w:jc w:val="center"/>
        <w:rPr>
          <w:b/>
          <w:sz w:val="21"/>
        </w:rPr>
      </w:pPr>
      <w:r>
        <w:rPr>
          <w:b/>
          <w:spacing w:val="-6"/>
          <w:sz w:val="21"/>
        </w:rPr>
        <w:t>附录</w:t>
      </w:r>
    </w:p>
    <w:p w14:paraId="237B4E8C">
      <w:pPr>
        <w:pStyle w:val="3"/>
        <w:spacing w:before="195"/>
        <w:ind w:left="418" w:right="418"/>
        <w:jc w:val="center"/>
      </w:pPr>
      <w:r>
        <w:rPr>
          <w:spacing w:val="-4"/>
        </w:rPr>
        <w:t>短期费率表</w:t>
      </w:r>
    </w:p>
    <w:p w14:paraId="3FA24BCD">
      <w:pPr>
        <w:pStyle w:val="3"/>
        <w:spacing w:before="8"/>
        <w:ind w:left="0"/>
        <w:rPr>
          <w:sz w:val="13"/>
        </w:rPr>
      </w:pPr>
    </w:p>
    <w:tbl>
      <w:tblPr>
        <w:tblStyle w:val="5"/>
        <w:tblW w:w="0" w:type="auto"/>
        <w:tblInd w:w="14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2"/>
        <w:gridCol w:w="540"/>
        <w:gridCol w:w="540"/>
        <w:gridCol w:w="540"/>
        <w:gridCol w:w="540"/>
        <w:gridCol w:w="540"/>
        <w:gridCol w:w="540"/>
        <w:gridCol w:w="540"/>
        <w:gridCol w:w="540"/>
        <w:gridCol w:w="540"/>
        <w:gridCol w:w="540"/>
        <w:gridCol w:w="788"/>
        <w:gridCol w:w="708"/>
      </w:tblGrid>
      <w:tr w14:paraId="0EC11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192" w:type="dxa"/>
          </w:tcPr>
          <w:p w14:paraId="58430447">
            <w:pPr>
              <w:pStyle w:val="9"/>
              <w:spacing w:before="56"/>
              <w:ind w:left="0"/>
              <w:rPr>
                <w:sz w:val="21"/>
              </w:rPr>
            </w:pPr>
          </w:p>
          <w:p w14:paraId="42A5866C">
            <w:pPr>
              <w:pStyle w:val="9"/>
              <w:spacing w:line="273" w:lineRule="auto"/>
              <w:ind w:left="385" w:right="377"/>
              <w:rPr>
                <w:sz w:val="21"/>
              </w:rPr>
            </w:pPr>
            <w:r>
              <w:rPr>
                <w:spacing w:val="-6"/>
                <w:sz w:val="21"/>
              </w:rPr>
              <w:t>保险</w:t>
            </w:r>
            <w:r>
              <w:rPr>
                <w:spacing w:val="-8"/>
                <w:sz w:val="21"/>
              </w:rPr>
              <w:t>期间</w:t>
            </w:r>
          </w:p>
        </w:tc>
        <w:tc>
          <w:tcPr>
            <w:tcW w:w="540" w:type="dxa"/>
          </w:tcPr>
          <w:p w14:paraId="4394C82C">
            <w:pPr>
              <w:pStyle w:val="9"/>
              <w:spacing w:before="173" w:line="273" w:lineRule="auto"/>
              <w:ind w:left="107" w:right="211"/>
              <w:jc w:val="both"/>
              <w:rPr>
                <w:sz w:val="21"/>
              </w:rPr>
            </w:pPr>
            <w:r>
              <w:rPr>
                <w:spacing w:val="-10"/>
                <w:sz w:val="21"/>
              </w:rPr>
              <w:t>一个月</w:t>
            </w:r>
          </w:p>
        </w:tc>
        <w:tc>
          <w:tcPr>
            <w:tcW w:w="540" w:type="dxa"/>
          </w:tcPr>
          <w:p w14:paraId="1946520C">
            <w:pPr>
              <w:pStyle w:val="9"/>
              <w:spacing w:before="173" w:line="273" w:lineRule="auto"/>
              <w:ind w:left="107" w:right="211"/>
              <w:jc w:val="both"/>
              <w:rPr>
                <w:sz w:val="21"/>
              </w:rPr>
            </w:pPr>
            <w:r>
              <w:rPr>
                <w:spacing w:val="-10"/>
                <w:sz w:val="21"/>
              </w:rPr>
              <w:t>二个月</w:t>
            </w:r>
          </w:p>
        </w:tc>
        <w:tc>
          <w:tcPr>
            <w:tcW w:w="540" w:type="dxa"/>
          </w:tcPr>
          <w:p w14:paraId="55B90414">
            <w:pPr>
              <w:pStyle w:val="9"/>
              <w:spacing w:before="173" w:line="273" w:lineRule="auto"/>
              <w:ind w:left="107" w:right="211"/>
              <w:jc w:val="both"/>
              <w:rPr>
                <w:sz w:val="21"/>
              </w:rPr>
            </w:pPr>
            <w:r>
              <w:rPr>
                <w:spacing w:val="-10"/>
                <w:sz w:val="21"/>
              </w:rPr>
              <w:t>三个月</w:t>
            </w:r>
          </w:p>
        </w:tc>
        <w:tc>
          <w:tcPr>
            <w:tcW w:w="540" w:type="dxa"/>
          </w:tcPr>
          <w:p w14:paraId="221777DC">
            <w:pPr>
              <w:pStyle w:val="9"/>
              <w:spacing w:before="173" w:line="273" w:lineRule="auto"/>
              <w:ind w:left="107" w:right="211"/>
              <w:jc w:val="both"/>
              <w:rPr>
                <w:sz w:val="21"/>
              </w:rPr>
            </w:pPr>
            <w:r>
              <w:rPr>
                <w:spacing w:val="-10"/>
                <w:sz w:val="21"/>
              </w:rPr>
              <w:t>四个月</w:t>
            </w:r>
          </w:p>
        </w:tc>
        <w:tc>
          <w:tcPr>
            <w:tcW w:w="540" w:type="dxa"/>
          </w:tcPr>
          <w:p w14:paraId="7D5FAC10">
            <w:pPr>
              <w:pStyle w:val="9"/>
              <w:spacing w:before="173" w:line="273" w:lineRule="auto"/>
              <w:ind w:left="107" w:right="211"/>
              <w:jc w:val="both"/>
              <w:rPr>
                <w:sz w:val="21"/>
              </w:rPr>
            </w:pPr>
            <w:r>
              <w:rPr>
                <w:spacing w:val="-10"/>
                <w:sz w:val="21"/>
              </w:rPr>
              <w:t>五个月</w:t>
            </w:r>
          </w:p>
        </w:tc>
        <w:tc>
          <w:tcPr>
            <w:tcW w:w="540" w:type="dxa"/>
          </w:tcPr>
          <w:p w14:paraId="61538650">
            <w:pPr>
              <w:pStyle w:val="9"/>
              <w:spacing w:before="173" w:line="273" w:lineRule="auto"/>
              <w:ind w:left="107" w:right="211"/>
              <w:jc w:val="both"/>
              <w:rPr>
                <w:sz w:val="21"/>
              </w:rPr>
            </w:pPr>
            <w:r>
              <w:rPr>
                <w:spacing w:val="-10"/>
                <w:sz w:val="21"/>
              </w:rPr>
              <w:t>六个月</w:t>
            </w:r>
          </w:p>
        </w:tc>
        <w:tc>
          <w:tcPr>
            <w:tcW w:w="540" w:type="dxa"/>
          </w:tcPr>
          <w:p w14:paraId="567FE923">
            <w:pPr>
              <w:pStyle w:val="9"/>
              <w:spacing w:before="173" w:line="273" w:lineRule="auto"/>
              <w:ind w:left="107" w:right="211"/>
              <w:jc w:val="both"/>
              <w:rPr>
                <w:sz w:val="21"/>
              </w:rPr>
            </w:pPr>
            <w:r>
              <w:rPr>
                <w:spacing w:val="-10"/>
                <w:sz w:val="21"/>
              </w:rPr>
              <w:t>七个月</w:t>
            </w:r>
          </w:p>
        </w:tc>
        <w:tc>
          <w:tcPr>
            <w:tcW w:w="540" w:type="dxa"/>
          </w:tcPr>
          <w:p w14:paraId="462E6C55">
            <w:pPr>
              <w:pStyle w:val="9"/>
              <w:spacing w:before="173" w:line="273" w:lineRule="auto"/>
              <w:ind w:left="107" w:right="211"/>
              <w:jc w:val="both"/>
              <w:rPr>
                <w:sz w:val="21"/>
              </w:rPr>
            </w:pPr>
            <w:r>
              <w:rPr>
                <w:spacing w:val="-10"/>
                <w:sz w:val="21"/>
              </w:rPr>
              <w:t>八个月</w:t>
            </w:r>
          </w:p>
        </w:tc>
        <w:tc>
          <w:tcPr>
            <w:tcW w:w="540" w:type="dxa"/>
          </w:tcPr>
          <w:p w14:paraId="28E7F094">
            <w:pPr>
              <w:pStyle w:val="9"/>
              <w:spacing w:before="173" w:line="273" w:lineRule="auto"/>
              <w:ind w:left="107" w:right="211"/>
              <w:jc w:val="both"/>
              <w:rPr>
                <w:sz w:val="21"/>
              </w:rPr>
            </w:pPr>
            <w:r>
              <w:rPr>
                <w:spacing w:val="-10"/>
                <w:sz w:val="21"/>
              </w:rPr>
              <w:t>九个月</w:t>
            </w:r>
          </w:p>
        </w:tc>
        <w:tc>
          <w:tcPr>
            <w:tcW w:w="540" w:type="dxa"/>
          </w:tcPr>
          <w:p w14:paraId="14E3E3B8">
            <w:pPr>
              <w:pStyle w:val="9"/>
              <w:spacing w:before="173" w:line="273" w:lineRule="auto"/>
              <w:ind w:left="107" w:right="211"/>
              <w:jc w:val="both"/>
              <w:rPr>
                <w:sz w:val="21"/>
              </w:rPr>
            </w:pPr>
            <w:r>
              <w:rPr>
                <w:spacing w:val="-10"/>
                <w:sz w:val="21"/>
              </w:rPr>
              <w:t>十个月</w:t>
            </w:r>
          </w:p>
        </w:tc>
        <w:tc>
          <w:tcPr>
            <w:tcW w:w="788" w:type="dxa"/>
          </w:tcPr>
          <w:p w14:paraId="15D44AC8">
            <w:pPr>
              <w:pStyle w:val="9"/>
              <w:spacing w:before="17" w:line="273" w:lineRule="auto"/>
              <w:ind w:left="287" w:right="279"/>
              <w:jc w:val="both"/>
              <w:rPr>
                <w:sz w:val="21"/>
              </w:rPr>
            </w:pPr>
            <w:r>
              <w:rPr>
                <w:spacing w:val="-10"/>
                <w:sz w:val="21"/>
              </w:rPr>
              <w:t>十一个</w:t>
            </w:r>
          </w:p>
          <w:p w14:paraId="22785E76">
            <w:pPr>
              <w:pStyle w:val="9"/>
              <w:spacing w:before="2"/>
              <w:ind w:left="6"/>
              <w:jc w:val="center"/>
              <w:rPr>
                <w:sz w:val="21"/>
              </w:rPr>
            </w:pPr>
            <w:r>
              <w:rPr>
                <w:spacing w:val="-10"/>
                <w:sz w:val="21"/>
              </w:rPr>
              <w:t>月</w:t>
            </w:r>
          </w:p>
        </w:tc>
        <w:tc>
          <w:tcPr>
            <w:tcW w:w="708" w:type="dxa"/>
          </w:tcPr>
          <w:p w14:paraId="5B35A347">
            <w:pPr>
              <w:pStyle w:val="9"/>
              <w:spacing w:before="17" w:line="273" w:lineRule="auto"/>
              <w:ind w:left="248" w:right="238"/>
              <w:jc w:val="both"/>
              <w:rPr>
                <w:sz w:val="21"/>
              </w:rPr>
            </w:pPr>
            <w:r>
              <w:rPr>
                <w:spacing w:val="-10"/>
                <w:sz w:val="21"/>
              </w:rPr>
              <w:t>十二个</w:t>
            </w:r>
          </w:p>
          <w:p w14:paraId="7EF5254F">
            <w:pPr>
              <w:pStyle w:val="9"/>
              <w:spacing w:before="2"/>
              <w:ind w:left="7"/>
              <w:jc w:val="center"/>
              <w:rPr>
                <w:sz w:val="21"/>
              </w:rPr>
            </w:pPr>
            <w:r>
              <w:rPr>
                <w:spacing w:val="-10"/>
                <w:sz w:val="21"/>
              </w:rPr>
              <w:t>月</w:t>
            </w:r>
          </w:p>
        </w:tc>
      </w:tr>
      <w:tr w14:paraId="08C05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192" w:type="dxa"/>
          </w:tcPr>
          <w:p w14:paraId="16E81EBC">
            <w:pPr>
              <w:pStyle w:val="9"/>
              <w:spacing w:before="17"/>
              <w:ind w:left="176"/>
              <w:rPr>
                <w:sz w:val="21"/>
              </w:rPr>
            </w:pPr>
            <w:r>
              <w:rPr>
                <w:spacing w:val="-7"/>
                <w:sz w:val="21"/>
              </w:rPr>
              <w:t>年费率的</w:t>
            </w:r>
          </w:p>
          <w:p w14:paraId="065E5922">
            <w:pPr>
              <w:pStyle w:val="9"/>
              <w:spacing w:before="195"/>
              <w:ind w:left="279"/>
              <w:rPr>
                <w:sz w:val="21"/>
              </w:rPr>
            </w:pPr>
            <w:r>
              <w:rPr>
                <w:spacing w:val="-5"/>
                <w:sz w:val="21"/>
              </w:rPr>
              <w:t>百分比</w:t>
            </w:r>
          </w:p>
        </w:tc>
        <w:tc>
          <w:tcPr>
            <w:tcW w:w="540" w:type="dxa"/>
          </w:tcPr>
          <w:p w14:paraId="55287B03">
            <w:pPr>
              <w:pStyle w:val="9"/>
              <w:spacing w:before="252"/>
              <w:ind w:left="165"/>
              <w:rPr>
                <w:sz w:val="21"/>
              </w:rPr>
            </w:pPr>
            <w:r>
              <w:rPr>
                <w:spacing w:val="-5"/>
                <w:sz w:val="21"/>
              </w:rPr>
              <w:t>10</w:t>
            </w:r>
          </w:p>
        </w:tc>
        <w:tc>
          <w:tcPr>
            <w:tcW w:w="540" w:type="dxa"/>
          </w:tcPr>
          <w:p w14:paraId="141D5A37">
            <w:pPr>
              <w:pStyle w:val="9"/>
              <w:spacing w:before="252"/>
              <w:ind w:left="165"/>
              <w:rPr>
                <w:sz w:val="21"/>
              </w:rPr>
            </w:pPr>
            <w:r>
              <w:rPr>
                <w:spacing w:val="-5"/>
                <w:sz w:val="21"/>
              </w:rPr>
              <w:t>20</w:t>
            </w:r>
          </w:p>
        </w:tc>
        <w:tc>
          <w:tcPr>
            <w:tcW w:w="540" w:type="dxa"/>
          </w:tcPr>
          <w:p w14:paraId="12189411">
            <w:pPr>
              <w:pStyle w:val="9"/>
              <w:spacing w:before="252"/>
              <w:ind w:left="165"/>
              <w:rPr>
                <w:sz w:val="21"/>
              </w:rPr>
            </w:pPr>
            <w:r>
              <w:rPr>
                <w:spacing w:val="-5"/>
                <w:sz w:val="21"/>
              </w:rPr>
              <w:t>30</w:t>
            </w:r>
          </w:p>
        </w:tc>
        <w:tc>
          <w:tcPr>
            <w:tcW w:w="540" w:type="dxa"/>
          </w:tcPr>
          <w:p w14:paraId="411C22D6">
            <w:pPr>
              <w:pStyle w:val="9"/>
              <w:spacing w:before="252"/>
              <w:ind w:left="165"/>
              <w:rPr>
                <w:sz w:val="21"/>
              </w:rPr>
            </w:pPr>
            <w:r>
              <w:rPr>
                <w:spacing w:val="-5"/>
                <w:sz w:val="21"/>
              </w:rPr>
              <w:t>40</w:t>
            </w:r>
          </w:p>
        </w:tc>
        <w:tc>
          <w:tcPr>
            <w:tcW w:w="540" w:type="dxa"/>
          </w:tcPr>
          <w:p w14:paraId="1AF8D49E">
            <w:pPr>
              <w:pStyle w:val="9"/>
              <w:spacing w:before="252"/>
              <w:ind w:left="165"/>
              <w:rPr>
                <w:sz w:val="21"/>
              </w:rPr>
            </w:pPr>
            <w:r>
              <w:rPr>
                <w:spacing w:val="-5"/>
                <w:sz w:val="21"/>
              </w:rPr>
              <w:t>50</w:t>
            </w:r>
          </w:p>
        </w:tc>
        <w:tc>
          <w:tcPr>
            <w:tcW w:w="540" w:type="dxa"/>
          </w:tcPr>
          <w:p w14:paraId="291F4EBE">
            <w:pPr>
              <w:pStyle w:val="9"/>
              <w:spacing w:before="252"/>
              <w:ind w:left="165"/>
              <w:rPr>
                <w:sz w:val="21"/>
              </w:rPr>
            </w:pPr>
            <w:r>
              <w:rPr>
                <w:spacing w:val="-5"/>
                <w:sz w:val="21"/>
              </w:rPr>
              <w:t>60</w:t>
            </w:r>
          </w:p>
        </w:tc>
        <w:tc>
          <w:tcPr>
            <w:tcW w:w="540" w:type="dxa"/>
          </w:tcPr>
          <w:p w14:paraId="72F074F9">
            <w:pPr>
              <w:pStyle w:val="9"/>
              <w:spacing w:before="252"/>
              <w:ind w:left="165"/>
              <w:rPr>
                <w:sz w:val="21"/>
              </w:rPr>
            </w:pPr>
            <w:r>
              <w:rPr>
                <w:spacing w:val="-5"/>
                <w:sz w:val="21"/>
              </w:rPr>
              <w:t>70</w:t>
            </w:r>
          </w:p>
        </w:tc>
        <w:tc>
          <w:tcPr>
            <w:tcW w:w="540" w:type="dxa"/>
          </w:tcPr>
          <w:p w14:paraId="780194C0">
            <w:pPr>
              <w:pStyle w:val="9"/>
              <w:spacing w:before="252"/>
              <w:ind w:left="165"/>
              <w:rPr>
                <w:sz w:val="21"/>
              </w:rPr>
            </w:pPr>
            <w:r>
              <w:rPr>
                <w:spacing w:val="-5"/>
                <w:sz w:val="21"/>
              </w:rPr>
              <w:t>80</w:t>
            </w:r>
          </w:p>
        </w:tc>
        <w:tc>
          <w:tcPr>
            <w:tcW w:w="540" w:type="dxa"/>
          </w:tcPr>
          <w:p w14:paraId="6C84292B">
            <w:pPr>
              <w:pStyle w:val="9"/>
              <w:spacing w:before="252"/>
              <w:ind w:left="165"/>
              <w:rPr>
                <w:sz w:val="21"/>
              </w:rPr>
            </w:pPr>
            <w:r>
              <w:rPr>
                <w:spacing w:val="-5"/>
                <w:sz w:val="21"/>
              </w:rPr>
              <w:t>85</w:t>
            </w:r>
          </w:p>
        </w:tc>
        <w:tc>
          <w:tcPr>
            <w:tcW w:w="540" w:type="dxa"/>
          </w:tcPr>
          <w:p w14:paraId="79AFCFC9">
            <w:pPr>
              <w:pStyle w:val="9"/>
              <w:spacing w:before="252"/>
              <w:ind w:left="165"/>
              <w:rPr>
                <w:sz w:val="21"/>
              </w:rPr>
            </w:pPr>
            <w:r>
              <w:rPr>
                <w:spacing w:val="-5"/>
                <w:sz w:val="21"/>
              </w:rPr>
              <w:t>90</w:t>
            </w:r>
          </w:p>
        </w:tc>
        <w:tc>
          <w:tcPr>
            <w:tcW w:w="788" w:type="dxa"/>
          </w:tcPr>
          <w:p w14:paraId="73365CA0">
            <w:pPr>
              <w:pStyle w:val="9"/>
              <w:spacing w:before="252"/>
              <w:ind w:left="6" w:right="2"/>
              <w:jc w:val="center"/>
              <w:rPr>
                <w:sz w:val="21"/>
              </w:rPr>
            </w:pPr>
            <w:r>
              <w:rPr>
                <w:spacing w:val="-5"/>
                <w:sz w:val="21"/>
              </w:rPr>
              <w:t>95</w:t>
            </w:r>
          </w:p>
        </w:tc>
        <w:tc>
          <w:tcPr>
            <w:tcW w:w="708" w:type="dxa"/>
          </w:tcPr>
          <w:p w14:paraId="336822FB">
            <w:pPr>
              <w:pStyle w:val="9"/>
              <w:spacing w:before="252"/>
              <w:ind w:left="195"/>
              <w:rPr>
                <w:sz w:val="21"/>
              </w:rPr>
            </w:pPr>
            <w:r>
              <w:rPr>
                <w:spacing w:val="-5"/>
                <w:sz w:val="21"/>
              </w:rPr>
              <w:t>100</w:t>
            </w:r>
          </w:p>
        </w:tc>
      </w:tr>
    </w:tbl>
    <w:p w14:paraId="45EBA1F6">
      <w:pPr>
        <w:pStyle w:val="3"/>
        <w:spacing w:before="17"/>
        <w:ind w:left="2003"/>
      </w:pPr>
      <w:r>
        <w:rPr>
          <w:spacing w:val="-3"/>
        </w:rPr>
        <w:t>注：不足一个月的部分按一个月计收。</w:t>
      </w:r>
    </w:p>
    <w:sectPr>
      <w:pgSz w:w="11910" w:h="16840"/>
      <w:pgMar w:top="1400" w:right="425" w:bottom="280" w:left="425"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
  <w:rsids>
    <w:rsidRoot w:val="00000000"/>
    <w:rsid w:val="37777AC7"/>
    <w:rsid w:val="BDEF4D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qFormat/>
    <w:uiPriority w:val="1"/>
    <w:pPr>
      <w:spacing w:before="246"/>
      <w:ind w:left="418" w:right="427"/>
      <w:jc w:val="center"/>
      <w:outlineLvl w:val="1"/>
    </w:pPr>
    <w:rPr>
      <w:rFonts w:ascii="宋体" w:hAnsi="宋体" w:eastAsia="宋体" w:cs="宋体"/>
      <w:b/>
      <w:bCs/>
      <w:sz w:val="32"/>
      <w:szCs w:val="32"/>
      <w:lang w:val="en-US" w:eastAsia="zh-CN" w:bidi="ar-SA"/>
    </w:rPr>
  </w:style>
  <w:style w:type="character" w:default="1" w:styleId="6">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ind w:left="1375"/>
    </w:pPr>
    <w:rPr>
      <w:rFonts w:ascii="宋体" w:hAnsi="宋体" w:eastAsia="宋体" w:cs="宋体"/>
      <w:sz w:val="21"/>
      <w:szCs w:val="21"/>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rPr>
      <w:lang w:val="en-US" w:eastAsia="zh-CN" w:bidi="ar-SA"/>
    </w:rPr>
  </w:style>
  <w:style w:type="paragraph" w:customStyle="1" w:styleId="9">
    <w:name w:val="Table Paragraph"/>
    <w:basedOn w:val="1"/>
    <w:qFormat/>
    <w:uiPriority w:val="1"/>
    <w:pPr>
      <w:ind w:left="31"/>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TotalTime>14</TotalTime>
  <ScaleCrop>false</ScaleCrop>
  <LinksUpToDate>false</LinksUpToDate>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2026-03-13T09:20:00Z</dcterms:created>
  <dc:creator>administrator</dc:creator>
  <cp:lastModifiedBy>administrator</cp:lastModifiedBy>
  <dcterms:modified xsi:type="dcterms:W3CDTF">2026-03-12T17:51:24Z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2026-03-12T00:00:00Z</vt:filetime>
  </property>
  <property fmtid="{D5CDD505-2E9C-101B-9397-08002B2CF9AE}" pid="3" name="LastSaved">
    <vt:filetime>2026-03-12T00:00:00Z</vt:filetime>
  </property>
  <property fmtid="{D5CDD505-2E9C-101B-9397-08002B2CF9AE}" pid="4" name="Producer">
    <vt:lpwstr>iText 2.1.5 (by lowagie.com)</vt:lpwstr>
  </property>
  <property fmtid="{D5CDD505-2E9C-101B-9397-08002B2CF9AE}" pid="5" name="KSOProductBuildVer">
    <vt:lpwstr>2052-12.8.2.21176</vt:lpwstr>
  </property>
  <property fmtid="{D5CDD505-2E9C-101B-9397-08002B2CF9AE}" pid="6" name="ICV">
    <vt:lpwstr>9487552E17AFE8377D87B26989A55E25_42</vt:lpwstr>
  </property>
</Properties>
</file>