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DCEEF9">
      <w:pPr>
        <w:outlineLvl w:val="0"/>
        <w:rPr>
          <w:rFonts w:ascii="宋体"/>
          <w:highlight w:val="none"/>
        </w:rPr>
      </w:pPr>
    </w:p>
    <w:p w14:paraId="40C872AA">
      <w:pPr>
        <w:outlineLvl w:val="0"/>
        <w:rPr>
          <w:rFonts w:ascii="宋体"/>
          <w:highlight w:val="none"/>
        </w:rPr>
      </w:pPr>
      <w:r>
        <w:rPr>
          <w:rFonts w:ascii="宋体"/>
          <w:highlight w:val="none"/>
        </w:rPr>
        <w:t>GF-2000-02</w:t>
      </w:r>
      <w:r>
        <w:rPr>
          <w:rFonts w:hint="eastAsia" w:ascii="宋体"/>
          <w:highlight w:val="none"/>
        </w:rPr>
        <w:t>10</w:t>
      </w:r>
    </w:p>
    <w:p w14:paraId="64E3C40A">
      <w:pPr>
        <w:jc w:val="center"/>
        <w:outlineLvl w:val="0"/>
        <w:rPr>
          <w:rFonts w:ascii="宋体"/>
          <w:b/>
          <w:bCs/>
          <w:sz w:val="40"/>
          <w:szCs w:val="22"/>
          <w:highlight w:val="none"/>
        </w:rPr>
      </w:pPr>
      <w:r>
        <w:rPr>
          <w:rFonts w:hint="eastAsia" w:ascii="宋体"/>
          <w:b/>
          <w:bCs/>
          <w:sz w:val="40"/>
          <w:szCs w:val="22"/>
          <w:highlight w:val="none"/>
        </w:rPr>
        <w:t>建设工程设计合同</w:t>
      </w:r>
    </w:p>
    <w:tbl>
      <w:tblPr>
        <w:tblStyle w:val="9"/>
        <w:tblpPr w:leftFromText="180" w:rightFromText="180" w:vertAnchor="text" w:horzAnchor="page" w:tblpX="13737" w:tblpY="648"/>
        <w:tblOverlap w:val="never"/>
        <w:tblW w:w="0" w:type="auto"/>
        <w:tblInd w:w="0" w:type="dxa"/>
        <w:tblLayout w:type="fixed"/>
        <w:tblCellMar>
          <w:top w:w="0" w:type="dxa"/>
          <w:left w:w="0" w:type="dxa"/>
          <w:bottom w:w="0" w:type="dxa"/>
          <w:right w:w="0" w:type="dxa"/>
        </w:tblCellMar>
      </w:tblPr>
      <w:tblGrid>
        <w:gridCol w:w="7500"/>
      </w:tblGrid>
      <w:tr w14:paraId="2AB540A4">
        <w:tblPrEx>
          <w:tblCellMar>
            <w:top w:w="0" w:type="dxa"/>
            <w:left w:w="0" w:type="dxa"/>
            <w:bottom w:w="0" w:type="dxa"/>
            <w:right w:w="0" w:type="dxa"/>
          </w:tblCellMar>
        </w:tblPrEx>
        <w:tc>
          <w:tcPr>
            <w:tcW w:w="7500" w:type="dxa"/>
            <w:vAlign w:val="center"/>
          </w:tcPr>
          <w:p w14:paraId="10E49D23">
            <w:pPr>
              <w:widowControl/>
              <w:ind w:left="2340" w:hanging="2340" w:hangingChars="650"/>
              <w:jc w:val="left"/>
              <w:rPr>
                <w:spacing w:val="-24"/>
                <w:sz w:val="24"/>
                <w:szCs w:val="24"/>
                <w:highlight w:val="none"/>
                <w:u w:val="single"/>
              </w:rPr>
            </w:pPr>
            <w:r>
              <w:rPr>
                <w:rFonts w:hint="eastAsia" w:ascii="宋体"/>
                <w:spacing w:val="20"/>
                <w:szCs w:val="32"/>
                <w:highlight w:val="none"/>
              </w:rPr>
              <w:t>工程名称</w:t>
            </w:r>
            <w:r>
              <w:rPr>
                <w:rFonts w:hint="eastAsia" w:ascii="宋体"/>
                <w:highlight w:val="none"/>
              </w:rPr>
              <w:t>：</w:t>
            </w:r>
            <w:r>
              <w:rPr>
                <w:rFonts w:ascii="宋体"/>
                <w:sz w:val="30"/>
                <w:szCs w:val="30"/>
                <w:highlight w:val="none"/>
                <w:u w:val="single"/>
              </w:rPr>
              <w:t>新疆生产建设兵团</w:t>
            </w:r>
            <w:r>
              <w:rPr>
                <w:rFonts w:hint="eastAsia" w:ascii="宋体"/>
                <w:sz w:val="30"/>
                <w:szCs w:val="30"/>
                <w:highlight w:val="none"/>
                <w:u w:val="single"/>
              </w:rPr>
              <w:t>第四师水利发展“十四五”规划</w:t>
            </w:r>
          </w:p>
          <w:p w14:paraId="2D6CF19A">
            <w:pPr>
              <w:spacing w:line="600" w:lineRule="exact"/>
              <w:ind w:left="540" w:hanging="540" w:hangingChars="150"/>
              <w:rPr>
                <w:rFonts w:ascii="宋体"/>
                <w:highlight w:val="none"/>
              </w:rPr>
            </w:pPr>
            <w:r>
              <w:rPr>
                <w:rFonts w:hint="eastAsia" w:ascii="宋体"/>
                <w:spacing w:val="20"/>
                <w:szCs w:val="32"/>
                <w:highlight w:val="none"/>
              </w:rPr>
              <w:t>工程地点</w:t>
            </w:r>
            <w:r>
              <w:rPr>
                <w:rFonts w:ascii="宋体"/>
                <w:highlight w:val="none"/>
              </w:rPr>
              <w:t>:</w:t>
            </w:r>
            <w:r>
              <w:rPr>
                <w:rFonts w:hint="eastAsia" w:ascii="宋体"/>
                <w:szCs w:val="32"/>
                <w:highlight w:val="none"/>
                <w:u w:val="single"/>
              </w:rPr>
              <w:t>第四师各团场</w:t>
            </w:r>
          </w:p>
          <w:p w14:paraId="477D6907">
            <w:pPr>
              <w:spacing w:line="600" w:lineRule="exact"/>
              <w:rPr>
                <w:rFonts w:ascii="宋体"/>
                <w:highlight w:val="none"/>
              </w:rPr>
            </w:pPr>
            <w:r>
              <w:rPr>
                <w:rFonts w:hint="eastAsia" w:ascii="宋体"/>
                <w:spacing w:val="20"/>
                <w:szCs w:val="32"/>
                <w:highlight w:val="none"/>
              </w:rPr>
              <w:t>合同编号</w:t>
            </w:r>
            <w:r>
              <w:rPr>
                <w:rFonts w:hint="eastAsia" w:ascii="宋体"/>
                <w:highlight w:val="none"/>
              </w:rPr>
              <w:t>：</w:t>
            </w:r>
            <w:r>
              <w:rPr>
                <w:rFonts w:hint="eastAsia" w:ascii="宋体" w:hAnsi="宋体"/>
                <w:szCs w:val="32"/>
                <w:highlight w:val="none"/>
                <w:u w:val="single"/>
              </w:rPr>
              <w:t>SD1-2020-34</w:t>
            </w:r>
          </w:p>
          <w:p w14:paraId="31330158">
            <w:pPr>
              <w:spacing w:line="600" w:lineRule="exact"/>
              <w:rPr>
                <w:rFonts w:ascii="宋体"/>
                <w:highlight w:val="none"/>
              </w:rPr>
            </w:pPr>
            <w:r>
              <w:rPr>
                <w:rFonts w:hint="eastAsia" w:ascii="宋体"/>
                <w:highlight w:val="none"/>
              </w:rPr>
              <w:t>勘察证书等级：</w:t>
            </w:r>
            <w:r>
              <w:rPr>
                <w:rFonts w:hint="eastAsia" w:ascii="宋体" w:hAnsi="宋体"/>
                <w:szCs w:val="32"/>
                <w:highlight w:val="none"/>
                <w:u w:val="single"/>
              </w:rPr>
              <w:t>乙级</w:t>
            </w:r>
          </w:p>
          <w:p w14:paraId="0CC7519B">
            <w:pPr>
              <w:spacing w:line="600" w:lineRule="exact"/>
              <w:rPr>
                <w:rFonts w:ascii="宋体"/>
                <w:highlight w:val="none"/>
                <w:u w:val="single"/>
              </w:rPr>
            </w:pPr>
            <w:r>
              <w:rPr>
                <w:rFonts w:hint="eastAsia" w:ascii="宋体"/>
                <w:spacing w:val="40"/>
                <w:szCs w:val="32"/>
                <w:highlight w:val="none"/>
              </w:rPr>
              <w:t>甲方：</w:t>
            </w:r>
            <w:r>
              <w:rPr>
                <w:rFonts w:hint="eastAsia" w:ascii="宋体"/>
                <w:szCs w:val="32"/>
                <w:highlight w:val="none"/>
                <w:u w:val="single"/>
              </w:rPr>
              <w:t>第四师水利局</w:t>
            </w:r>
            <w:r>
              <w:rPr>
                <w:rFonts w:hint="eastAsia" w:ascii="宋体" w:cs="宋体"/>
                <w:color w:val="333333"/>
                <w:kern w:val="0"/>
                <w:szCs w:val="32"/>
                <w:highlight w:val="none"/>
                <w:u w:val="single"/>
              </w:rPr>
              <w:t>　</w:t>
            </w:r>
          </w:p>
          <w:p w14:paraId="55926978">
            <w:pPr>
              <w:spacing w:line="600" w:lineRule="exact"/>
              <w:rPr>
                <w:rFonts w:ascii="宋体"/>
                <w:highlight w:val="none"/>
              </w:rPr>
            </w:pPr>
            <w:r>
              <w:rPr>
                <w:rFonts w:hint="eastAsia" w:ascii="宋体"/>
                <w:spacing w:val="40"/>
                <w:szCs w:val="32"/>
                <w:highlight w:val="none"/>
              </w:rPr>
              <w:t>勘　察　人</w:t>
            </w:r>
            <w:r>
              <w:rPr>
                <w:rFonts w:hint="eastAsia" w:ascii="宋体"/>
                <w:highlight w:val="none"/>
              </w:rPr>
              <w:t>：</w:t>
            </w:r>
            <w:r>
              <w:rPr>
                <w:rFonts w:hint="eastAsia" w:ascii="宋体"/>
                <w:szCs w:val="32"/>
                <w:highlight w:val="none"/>
                <w:u w:val="single"/>
              </w:rPr>
              <w:t>伊犁花城勘测设计研究有限责任公司</w:t>
            </w:r>
          </w:p>
          <w:p w14:paraId="6CE50957">
            <w:pPr>
              <w:spacing w:line="600" w:lineRule="exact"/>
              <w:rPr>
                <w:rFonts w:ascii="宋体"/>
                <w:highlight w:val="none"/>
                <w:u w:val="single"/>
              </w:rPr>
            </w:pPr>
            <w:r>
              <w:rPr>
                <w:rFonts w:hint="eastAsia" w:ascii="宋体"/>
                <w:spacing w:val="20"/>
                <w:szCs w:val="32"/>
                <w:highlight w:val="none"/>
              </w:rPr>
              <w:t>签订日期</w:t>
            </w:r>
            <w:r>
              <w:rPr>
                <w:rFonts w:hint="eastAsia" w:ascii="宋体"/>
                <w:highlight w:val="none"/>
              </w:rPr>
              <w:t>：</w:t>
            </w:r>
            <w:r>
              <w:rPr>
                <w:rFonts w:hint="eastAsia" w:ascii="宋体"/>
                <w:highlight w:val="none"/>
                <w:u w:val="single"/>
              </w:rPr>
              <w:t>2020年</w:t>
            </w:r>
          </w:p>
          <w:p w14:paraId="29A44C43">
            <w:pPr>
              <w:spacing w:line="600" w:lineRule="exact"/>
              <w:rPr>
                <w:rFonts w:ascii="宋体"/>
                <w:color w:val="000000"/>
                <w:highlight w:val="none"/>
                <w:u w:val="single"/>
              </w:rPr>
            </w:pPr>
          </w:p>
          <w:p w14:paraId="1F0E7158">
            <w:pPr>
              <w:spacing w:line="600" w:lineRule="exact"/>
              <w:rPr>
                <w:rFonts w:ascii="宋体"/>
                <w:color w:val="000000"/>
                <w:highlight w:val="none"/>
                <w:u w:val="single"/>
              </w:rPr>
            </w:pPr>
          </w:p>
          <w:p w14:paraId="081F0FFE">
            <w:pPr>
              <w:spacing w:line="600" w:lineRule="exact"/>
              <w:rPr>
                <w:rFonts w:ascii="宋体"/>
                <w:color w:val="000000"/>
                <w:highlight w:val="none"/>
                <w:u w:val="single"/>
              </w:rPr>
            </w:pPr>
          </w:p>
        </w:tc>
      </w:tr>
    </w:tbl>
    <w:p w14:paraId="067DA45B">
      <w:pPr>
        <w:jc w:val="center"/>
        <w:rPr>
          <w:rFonts w:ascii="宋体"/>
          <w:highlight w:val="none"/>
        </w:rPr>
      </w:pPr>
      <w:r>
        <w:rPr>
          <w:rFonts w:ascii="宋体"/>
          <w:highlight w:val="none"/>
        </w:rPr>
        <w:t> </w:t>
      </w:r>
    </w:p>
    <w:p w14:paraId="1D16E332">
      <w:pPr>
        <w:jc w:val="center"/>
        <w:rPr>
          <w:rFonts w:ascii="宋体"/>
          <w:highlight w:val="none"/>
        </w:rPr>
      </w:pPr>
    </w:p>
    <w:p w14:paraId="1216A81E">
      <w:pPr>
        <w:jc w:val="center"/>
        <w:rPr>
          <w:rFonts w:ascii="宋体"/>
          <w:highlight w:val="none"/>
        </w:rPr>
      </w:pPr>
    </w:p>
    <w:p w14:paraId="0A3C4E29">
      <w:pPr>
        <w:widowControl/>
        <w:spacing w:line="360" w:lineRule="auto"/>
        <w:ind w:left="1920" w:hanging="1920" w:hangingChars="600"/>
        <w:rPr>
          <w:rFonts w:ascii="宋体"/>
          <w:sz w:val="28"/>
          <w:szCs w:val="28"/>
          <w:highlight w:val="none"/>
          <w:u w:val="single"/>
        </w:rPr>
      </w:pPr>
      <w:r>
        <w:rPr>
          <w:rFonts w:hint="eastAsia" w:ascii="宋体"/>
          <w:spacing w:val="20"/>
          <w:sz w:val="28"/>
          <w:szCs w:val="28"/>
          <w:highlight w:val="none"/>
        </w:rPr>
        <w:t>工程名称</w:t>
      </w:r>
      <w:r>
        <w:rPr>
          <w:rFonts w:hint="eastAsia" w:ascii="宋体"/>
          <w:sz w:val="28"/>
          <w:szCs w:val="28"/>
          <w:highlight w:val="none"/>
        </w:rPr>
        <w:t>：</w:t>
      </w:r>
      <w:r>
        <w:rPr>
          <w:rFonts w:hint="eastAsia" w:hAnsi="宋体"/>
          <w:sz w:val="30"/>
          <w:szCs w:val="30"/>
          <w:highlight w:val="none"/>
          <w:u w:val="single"/>
        </w:rPr>
        <w:t>昭苏县夏塔河东都果尔沟水电站前池疏浚砂综合利用规划、实施方案</w:t>
      </w:r>
    </w:p>
    <w:p w14:paraId="468F2468">
      <w:pPr>
        <w:rPr>
          <w:rFonts w:ascii="宋体"/>
          <w:sz w:val="28"/>
          <w:szCs w:val="28"/>
          <w:highlight w:val="none"/>
        </w:rPr>
      </w:pPr>
      <w:r>
        <w:rPr>
          <w:rFonts w:hint="eastAsia" w:ascii="宋体"/>
          <w:spacing w:val="20"/>
          <w:sz w:val="28"/>
          <w:szCs w:val="28"/>
          <w:highlight w:val="none"/>
        </w:rPr>
        <w:t>工程地点</w:t>
      </w:r>
      <w:r>
        <w:rPr>
          <w:rFonts w:ascii="宋体"/>
          <w:sz w:val="28"/>
          <w:szCs w:val="28"/>
          <w:highlight w:val="none"/>
        </w:rPr>
        <w:t>:</w:t>
      </w:r>
      <w:r>
        <w:rPr>
          <w:rFonts w:hint="eastAsia" w:ascii="宋体"/>
          <w:sz w:val="28"/>
          <w:szCs w:val="28"/>
          <w:highlight w:val="none"/>
          <w:u w:val="single"/>
        </w:rPr>
        <w:t>昭苏县夏塔乡</w:t>
      </w:r>
    </w:p>
    <w:p w14:paraId="7C747561">
      <w:pPr>
        <w:spacing w:line="360" w:lineRule="auto"/>
        <w:rPr>
          <w:rFonts w:ascii="宋体"/>
          <w:sz w:val="28"/>
          <w:szCs w:val="28"/>
          <w:highlight w:val="none"/>
          <w:u w:val="single"/>
        </w:rPr>
      </w:pPr>
      <w:r>
        <w:rPr>
          <w:rFonts w:hint="eastAsia" w:ascii="宋体"/>
          <w:spacing w:val="20"/>
          <w:sz w:val="28"/>
          <w:szCs w:val="28"/>
          <w:highlight w:val="none"/>
        </w:rPr>
        <w:t>合同编号</w:t>
      </w:r>
      <w:r>
        <w:rPr>
          <w:rFonts w:hint="eastAsia" w:ascii="宋体"/>
          <w:sz w:val="28"/>
          <w:szCs w:val="28"/>
          <w:highlight w:val="none"/>
        </w:rPr>
        <w:t>：</w:t>
      </w:r>
      <w:r>
        <w:rPr>
          <w:rFonts w:hint="eastAsia" w:ascii="宋体"/>
          <w:sz w:val="28"/>
          <w:szCs w:val="28"/>
          <w:highlight w:val="none"/>
          <w:u w:val="single"/>
        </w:rPr>
        <w:t>SD1-2025</w:t>
      </w:r>
    </w:p>
    <w:p w14:paraId="1AC81502">
      <w:pPr>
        <w:spacing w:line="360" w:lineRule="auto"/>
        <w:rPr>
          <w:rFonts w:ascii="宋体"/>
          <w:sz w:val="28"/>
          <w:szCs w:val="28"/>
          <w:highlight w:val="none"/>
        </w:rPr>
      </w:pPr>
      <w:r>
        <w:rPr>
          <w:rFonts w:hint="eastAsia" w:ascii="宋体"/>
          <w:sz w:val="28"/>
          <w:szCs w:val="28"/>
          <w:highlight w:val="none"/>
        </w:rPr>
        <w:t>设计证书等级：</w:t>
      </w:r>
      <w:r>
        <w:rPr>
          <w:rFonts w:hint="eastAsia" w:ascii="宋体"/>
          <w:sz w:val="28"/>
          <w:szCs w:val="28"/>
          <w:highlight w:val="none"/>
          <w:u w:val="single"/>
          <w:lang w:val="en-GB"/>
        </w:rPr>
        <w:t>乙级</w:t>
      </w:r>
    </w:p>
    <w:p w14:paraId="08DAB07E">
      <w:pPr>
        <w:widowControl/>
        <w:jc w:val="left"/>
        <w:rPr>
          <w:highlight w:val="none"/>
        </w:rPr>
      </w:pPr>
      <w:r>
        <w:rPr>
          <w:rFonts w:hint="eastAsia" w:ascii="宋体"/>
          <w:spacing w:val="40"/>
          <w:sz w:val="28"/>
          <w:szCs w:val="28"/>
          <w:highlight w:val="none"/>
        </w:rPr>
        <w:t>甲方：</w:t>
      </w:r>
      <w:r>
        <w:rPr>
          <w:rFonts w:hint="eastAsia" w:ascii="宋体"/>
          <w:sz w:val="28"/>
          <w:szCs w:val="28"/>
          <w:highlight w:val="none"/>
          <w:u w:val="single"/>
        </w:rPr>
        <w:t>昭苏夏塔水电开发有限公司</w:t>
      </w:r>
    </w:p>
    <w:p w14:paraId="48B17F2E">
      <w:pPr>
        <w:spacing w:line="360" w:lineRule="auto"/>
        <w:rPr>
          <w:rFonts w:ascii="宋体"/>
          <w:sz w:val="28"/>
          <w:szCs w:val="28"/>
          <w:highlight w:val="none"/>
        </w:rPr>
      </w:pPr>
      <w:r>
        <w:rPr>
          <w:rFonts w:hint="eastAsia" w:ascii="宋体"/>
          <w:spacing w:val="40"/>
          <w:sz w:val="28"/>
          <w:szCs w:val="28"/>
          <w:highlight w:val="none"/>
        </w:rPr>
        <w:t>乙方</w:t>
      </w:r>
      <w:r>
        <w:rPr>
          <w:rFonts w:hint="eastAsia" w:ascii="宋体"/>
          <w:sz w:val="28"/>
          <w:szCs w:val="28"/>
          <w:highlight w:val="none"/>
        </w:rPr>
        <w:t>：</w:t>
      </w:r>
      <w:r>
        <w:rPr>
          <w:rFonts w:hint="eastAsia" w:ascii="宋体"/>
          <w:sz w:val="28"/>
          <w:szCs w:val="28"/>
          <w:highlight w:val="none"/>
          <w:u w:val="single"/>
        </w:rPr>
        <w:t>新疆</w:t>
      </w:r>
      <w:r>
        <w:rPr>
          <w:rFonts w:hint="eastAsia" w:ascii="宋体"/>
          <w:sz w:val="28"/>
          <w:szCs w:val="28"/>
          <w:highlight w:val="none"/>
          <w:u w:val="single"/>
          <w:lang w:val="en-GB"/>
        </w:rPr>
        <w:t>花城勘测设计研究有限责任公司</w:t>
      </w:r>
    </w:p>
    <w:p w14:paraId="5C68E465">
      <w:pPr>
        <w:spacing w:line="360" w:lineRule="auto"/>
        <w:rPr>
          <w:rFonts w:ascii="宋体"/>
          <w:highlight w:val="none"/>
        </w:rPr>
      </w:pPr>
      <w:r>
        <w:rPr>
          <w:rFonts w:hint="eastAsia" w:ascii="宋体"/>
          <w:spacing w:val="20"/>
          <w:sz w:val="28"/>
          <w:szCs w:val="28"/>
          <w:highlight w:val="none"/>
        </w:rPr>
        <w:t>签订日期</w:t>
      </w:r>
      <w:r>
        <w:rPr>
          <w:rFonts w:hint="eastAsia" w:ascii="宋体"/>
          <w:sz w:val="28"/>
          <w:szCs w:val="28"/>
          <w:highlight w:val="none"/>
        </w:rPr>
        <w:t>：</w:t>
      </w:r>
      <w:r>
        <w:rPr>
          <w:rFonts w:hint="eastAsia" w:ascii="宋体"/>
          <w:sz w:val="28"/>
          <w:szCs w:val="28"/>
          <w:highlight w:val="none"/>
          <w:u w:val="single"/>
          <w:lang w:val="en-GB"/>
        </w:rPr>
        <w:t>202</w:t>
      </w:r>
      <w:r>
        <w:rPr>
          <w:rFonts w:hint="eastAsia" w:ascii="宋体"/>
          <w:sz w:val="28"/>
          <w:szCs w:val="28"/>
          <w:highlight w:val="none"/>
          <w:u w:val="single"/>
        </w:rPr>
        <w:t>5</w:t>
      </w:r>
      <w:r>
        <w:rPr>
          <w:rFonts w:hint="eastAsia" w:ascii="宋体"/>
          <w:sz w:val="28"/>
          <w:szCs w:val="28"/>
          <w:highlight w:val="none"/>
          <w:u w:val="single"/>
          <w:lang w:val="en-GB"/>
        </w:rPr>
        <w:t>年</w:t>
      </w:r>
    </w:p>
    <w:p w14:paraId="3F0EEAFB">
      <w:pPr>
        <w:jc w:val="center"/>
        <w:rPr>
          <w:rFonts w:ascii="宋体"/>
          <w:highlight w:val="none"/>
        </w:rPr>
      </w:pPr>
    </w:p>
    <w:p w14:paraId="3A59756D">
      <w:pPr>
        <w:jc w:val="center"/>
        <w:rPr>
          <w:rFonts w:ascii="宋体"/>
          <w:highlight w:val="none"/>
        </w:rPr>
      </w:pPr>
    </w:p>
    <w:tbl>
      <w:tblPr>
        <w:tblStyle w:val="9"/>
        <w:tblW w:w="0" w:type="auto"/>
        <w:tblInd w:w="2149" w:type="dxa"/>
        <w:tblLayout w:type="fixed"/>
        <w:tblCellMar>
          <w:top w:w="0" w:type="dxa"/>
          <w:left w:w="75" w:type="dxa"/>
          <w:bottom w:w="0" w:type="dxa"/>
          <w:right w:w="75" w:type="dxa"/>
        </w:tblCellMar>
      </w:tblPr>
      <w:tblGrid>
        <w:gridCol w:w="3452"/>
        <w:gridCol w:w="921"/>
      </w:tblGrid>
      <w:tr w14:paraId="4A1C3EFC">
        <w:tblPrEx>
          <w:tblCellMar>
            <w:top w:w="0" w:type="dxa"/>
            <w:left w:w="75" w:type="dxa"/>
            <w:bottom w:w="0" w:type="dxa"/>
            <w:right w:w="75" w:type="dxa"/>
          </w:tblCellMar>
        </w:tblPrEx>
        <w:trPr>
          <w:cantSplit/>
          <w:trHeight w:val="225" w:hRule="atLeast"/>
        </w:trPr>
        <w:tc>
          <w:tcPr>
            <w:tcW w:w="3452" w:type="dxa"/>
            <w:vAlign w:val="center"/>
          </w:tcPr>
          <w:p w14:paraId="14FAB310">
            <w:pPr>
              <w:rPr>
                <w:rFonts w:ascii="宋体"/>
                <w:b/>
                <w:szCs w:val="32"/>
                <w:highlight w:val="none"/>
              </w:rPr>
            </w:pPr>
            <w:r>
              <w:rPr>
                <w:rFonts w:hint="eastAsia" w:ascii="宋体"/>
                <w:b/>
                <w:szCs w:val="32"/>
                <w:highlight w:val="none"/>
              </w:rPr>
              <w:t>中华人民共和国建设部</w:t>
            </w:r>
          </w:p>
        </w:tc>
        <w:tc>
          <w:tcPr>
            <w:tcW w:w="921" w:type="dxa"/>
            <w:vMerge w:val="restart"/>
            <w:vAlign w:val="center"/>
          </w:tcPr>
          <w:p w14:paraId="70B425D5">
            <w:pPr>
              <w:rPr>
                <w:rFonts w:ascii="宋体"/>
                <w:b/>
                <w:szCs w:val="32"/>
                <w:highlight w:val="none"/>
              </w:rPr>
            </w:pPr>
            <w:r>
              <w:rPr>
                <w:rFonts w:hint="eastAsia" w:ascii="宋体"/>
                <w:b/>
                <w:szCs w:val="32"/>
                <w:highlight w:val="none"/>
              </w:rPr>
              <w:t>监制</w:t>
            </w:r>
          </w:p>
        </w:tc>
      </w:tr>
      <w:tr w14:paraId="251EB26B">
        <w:tblPrEx>
          <w:tblCellMar>
            <w:top w:w="0" w:type="dxa"/>
            <w:left w:w="75" w:type="dxa"/>
            <w:bottom w:w="0" w:type="dxa"/>
            <w:right w:w="75" w:type="dxa"/>
          </w:tblCellMar>
        </w:tblPrEx>
        <w:trPr>
          <w:cantSplit/>
        </w:trPr>
        <w:tc>
          <w:tcPr>
            <w:tcW w:w="3452" w:type="dxa"/>
            <w:vAlign w:val="center"/>
          </w:tcPr>
          <w:p w14:paraId="38A924E3">
            <w:pPr>
              <w:rPr>
                <w:rFonts w:ascii="宋体"/>
                <w:b/>
                <w:spacing w:val="20"/>
                <w:szCs w:val="32"/>
                <w:highlight w:val="none"/>
              </w:rPr>
            </w:pPr>
            <w:r>
              <w:rPr>
                <w:rFonts w:hint="eastAsia" w:ascii="宋体"/>
                <w:b/>
                <w:spacing w:val="20"/>
                <w:szCs w:val="32"/>
                <w:highlight w:val="none"/>
              </w:rPr>
              <w:t>国家工商行政管理局</w:t>
            </w:r>
          </w:p>
        </w:tc>
        <w:tc>
          <w:tcPr>
            <w:tcW w:w="921" w:type="dxa"/>
            <w:vMerge w:val="continue"/>
            <w:vAlign w:val="center"/>
          </w:tcPr>
          <w:p w14:paraId="4BF8DC0D">
            <w:pPr>
              <w:rPr>
                <w:rFonts w:ascii="宋体"/>
                <w:szCs w:val="32"/>
                <w:highlight w:val="none"/>
              </w:rPr>
            </w:pPr>
          </w:p>
        </w:tc>
      </w:tr>
    </w:tbl>
    <w:p w14:paraId="25AF8897">
      <w:pPr>
        <w:spacing w:line="560" w:lineRule="exact"/>
        <w:rPr>
          <w:rFonts w:ascii="宋体"/>
          <w:highlight w:val="none"/>
        </w:rPr>
        <w:sectPr>
          <w:pgSz w:w="11906" w:h="16838"/>
          <w:pgMar w:top="1440" w:right="1800" w:bottom="1440" w:left="1800" w:header="851" w:footer="992" w:gutter="0"/>
          <w:pgNumType w:start="1"/>
          <w:cols w:space="425" w:num="1"/>
          <w:docGrid w:type="lines" w:linePitch="312" w:charSpace="0"/>
        </w:sectPr>
      </w:pPr>
    </w:p>
    <w:p w14:paraId="5A17DAE7">
      <w:pPr>
        <w:pStyle w:val="5"/>
        <w:spacing w:line="360" w:lineRule="auto"/>
        <w:ind w:firstLine="425"/>
        <w:rPr>
          <w:rFonts w:hint="eastAsia" w:asciiTheme="majorEastAsia" w:hAnsiTheme="majorEastAsia" w:eastAsiaTheme="majorEastAsia" w:cstheme="majorEastAsia"/>
          <w:sz w:val="28"/>
          <w:highlight w:val="none"/>
          <w:u w:val="single"/>
        </w:rPr>
      </w:pPr>
      <w:r>
        <w:rPr>
          <w:rFonts w:hint="eastAsia" w:asciiTheme="majorEastAsia" w:hAnsiTheme="majorEastAsia" w:eastAsiaTheme="majorEastAsia" w:cstheme="majorEastAsia"/>
          <w:sz w:val="28"/>
          <w:highlight w:val="none"/>
        </w:rPr>
        <w:t>甲方</w:t>
      </w:r>
      <w:r>
        <w:rPr>
          <w:rFonts w:hint="eastAsia" w:asciiTheme="majorEastAsia" w:hAnsiTheme="majorEastAsia" w:eastAsiaTheme="majorEastAsia" w:cstheme="majorEastAsia"/>
          <w:w w:val="90"/>
          <w:sz w:val="28"/>
          <w:highlight w:val="none"/>
        </w:rPr>
        <w:t>:</w:t>
      </w:r>
      <w:r>
        <w:rPr>
          <w:rFonts w:hint="eastAsia" w:asciiTheme="majorEastAsia" w:hAnsiTheme="majorEastAsia" w:eastAsiaTheme="majorEastAsia" w:cstheme="majorEastAsia"/>
          <w:sz w:val="28"/>
          <w:highlight w:val="none"/>
          <w:u w:val="single"/>
        </w:rPr>
        <w:t>昭苏夏塔水电开发有限公司</w:t>
      </w:r>
    </w:p>
    <w:p w14:paraId="6035A5C9">
      <w:pPr>
        <w:pStyle w:val="5"/>
        <w:spacing w:line="360" w:lineRule="auto"/>
        <w:ind w:firstLine="425"/>
        <w:rPr>
          <w:rFonts w:hint="eastAsia" w:asciiTheme="majorEastAsia" w:hAnsiTheme="majorEastAsia" w:eastAsiaTheme="majorEastAsia" w:cstheme="majorEastAsia"/>
          <w:sz w:val="28"/>
          <w:highlight w:val="none"/>
          <w:u w:val="single"/>
          <w:lang w:val="en-GB"/>
        </w:rPr>
      </w:pPr>
      <w:r>
        <w:rPr>
          <w:rFonts w:hint="eastAsia" w:asciiTheme="majorEastAsia" w:hAnsiTheme="majorEastAsia" w:eastAsiaTheme="majorEastAsia" w:cstheme="majorEastAsia"/>
          <w:sz w:val="28"/>
          <w:highlight w:val="none"/>
        </w:rPr>
        <w:t>乙方：</w:t>
      </w:r>
      <w:r>
        <w:rPr>
          <w:rFonts w:hint="eastAsia" w:asciiTheme="majorEastAsia" w:hAnsiTheme="majorEastAsia" w:eastAsiaTheme="majorEastAsia" w:cstheme="majorEastAsia"/>
          <w:sz w:val="28"/>
          <w:highlight w:val="none"/>
          <w:u w:val="single"/>
          <w:lang w:val="en-GB"/>
        </w:rPr>
        <w:t>新疆花城勘测设计研究有限责任公司</w:t>
      </w:r>
    </w:p>
    <w:p w14:paraId="492FCE52">
      <w:pPr>
        <w:pStyle w:val="5"/>
        <w:spacing w:line="360" w:lineRule="auto"/>
        <w:ind w:firstLine="425"/>
        <w:rPr>
          <w:rFonts w:hint="eastAsia" w:asciiTheme="majorEastAsia" w:hAnsiTheme="majorEastAsia" w:eastAsiaTheme="majorEastAsia" w:cstheme="majorEastAsia"/>
          <w:sz w:val="28"/>
          <w:highlight w:val="none"/>
          <w:u w:val="single"/>
        </w:rPr>
      </w:pPr>
    </w:p>
    <w:p w14:paraId="0525F002">
      <w:pPr>
        <w:pStyle w:val="5"/>
        <w:spacing w:line="360" w:lineRule="auto"/>
        <w:ind w:firstLine="425"/>
        <w:rPr>
          <w:rFonts w:hint="eastAsia" w:asciiTheme="majorEastAsia" w:hAnsiTheme="majorEastAsia" w:eastAsiaTheme="majorEastAsia" w:cstheme="majorEastAsia"/>
          <w:sz w:val="28"/>
          <w:highlight w:val="none"/>
        </w:rPr>
      </w:pPr>
      <w:r>
        <w:rPr>
          <w:rFonts w:hint="eastAsia" w:asciiTheme="majorEastAsia" w:hAnsiTheme="majorEastAsia" w:eastAsiaTheme="majorEastAsia" w:cstheme="majorEastAsia"/>
          <w:sz w:val="28"/>
          <w:highlight w:val="none"/>
        </w:rPr>
        <w:t>甲方委托乙方设计、编制和报批</w:t>
      </w:r>
      <w:r>
        <w:rPr>
          <w:rFonts w:hint="eastAsia" w:asciiTheme="majorEastAsia" w:hAnsiTheme="majorEastAsia" w:eastAsiaTheme="majorEastAsia" w:cstheme="majorEastAsia"/>
          <w:sz w:val="28"/>
          <w:highlight w:val="none"/>
          <w:u w:val="single"/>
        </w:rPr>
        <w:t>昭苏县夏塔河东都果尔沟水电站前池疏浚砂综合利用规划、实施方案</w:t>
      </w:r>
      <w:r>
        <w:rPr>
          <w:rFonts w:hint="eastAsia" w:asciiTheme="majorEastAsia" w:hAnsiTheme="majorEastAsia" w:eastAsiaTheme="majorEastAsia" w:cstheme="majorEastAsia"/>
          <w:sz w:val="28"/>
          <w:highlight w:val="none"/>
        </w:rPr>
        <w:t>。甲乙双方经充分协商一致，根据《中华人民共和国民法典》和工程勘察设计有关的法律法规签订本合同，以资共同遵守。</w:t>
      </w:r>
    </w:p>
    <w:p w14:paraId="24033431">
      <w:pPr>
        <w:ind w:firstLine="560" w:firstLineChars="200"/>
        <w:rPr>
          <w:sz w:val="28"/>
          <w:szCs w:val="28"/>
          <w:highlight w:val="none"/>
        </w:rPr>
      </w:pPr>
      <w:r>
        <w:rPr>
          <w:rFonts w:hint="eastAsia"/>
          <w:sz w:val="28"/>
          <w:szCs w:val="28"/>
          <w:highlight w:val="none"/>
        </w:rPr>
        <w:t>1.委托事项和服务范围</w:t>
      </w:r>
    </w:p>
    <w:p w14:paraId="29F60BD3">
      <w:pPr>
        <w:ind w:firstLine="560" w:firstLineChars="200"/>
        <w:rPr>
          <w:sz w:val="28"/>
          <w:szCs w:val="28"/>
          <w:highlight w:val="none"/>
        </w:rPr>
      </w:pPr>
      <w:r>
        <w:rPr>
          <w:rFonts w:hint="eastAsia"/>
          <w:sz w:val="28"/>
          <w:szCs w:val="28"/>
          <w:highlight w:val="none"/>
        </w:rPr>
        <w:t>1.1 委托事项:</w:t>
      </w:r>
      <w:r>
        <w:rPr>
          <w:rFonts w:hint="eastAsia" w:asciiTheme="majorEastAsia" w:hAnsiTheme="majorEastAsia" w:eastAsiaTheme="majorEastAsia" w:cstheme="majorEastAsia"/>
          <w:sz w:val="28"/>
          <w:highlight w:val="none"/>
        </w:rPr>
        <w:t xml:space="preserve"> 设计、编制和报批</w:t>
      </w:r>
      <w:r>
        <w:rPr>
          <w:rFonts w:hint="eastAsia"/>
          <w:sz w:val="28"/>
          <w:szCs w:val="28"/>
          <w:highlight w:val="none"/>
        </w:rPr>
        <w:t>昭苏县夏塔河东都果尔沟水电站前池疏浚砂综合利用规划、实施方案。</w:t>
      </w:r>
    </w:p>
    <w:p w14:paraId="61596EF6">
      <w:pPr>
        <w:ind w:firstLine="560" w:firstLineChars="200"/>
        <w:rPr>
          <w:sz w:val="28"/>
          <w:szCs w:val="28"/>
          <w:highlight w:val="none"/>
        </w:rPr>
      </w:pPr>
      <w:r>
        <w:rPr>
          <w:rFonts w:hint="eastAsia"/>
          <w:sz w:val="28"/>
          <w:szCs w:val="28"/>
          <w:highlight w:val="none"/>
        </w:rPr>
        <w:t>1.1.1 乙方负责根据伊犁州水利局/昭苏县水利局要求设计和编制伊犁州昭苏县东都果尔水电站《河道疏浚砂综合利用规划》及《河道疏浚砂综合利用实施方案》。</w:t>
      </w:r>
    </w:p>
    <w:p w14:paraId="3F02BD3E">
      <w:pPr>
        <w:ind w:firstLine="560" w:firstLineChars="200"/>
        <w:rPr>
          <w:rFonts w:hint="default" w:eastAsia="宋体"/>
          <w:sz w:val="28"/>
          <w:szCs w:val="28"/>
          <w:highlight w:val="none"/>
          <w:lang w:val="en-US" w:eastAsia="zh-CN"/>
        </w:rPr>
      </w:pPr>
      <w:r>
        <w:rPr>
          <w:rFonts w:hint="eastAsia"/>
          <w:sz w:val="28"/>
          <w:szCs w:val="28"/>
          <w:highlight w:val="none"/>
        </w:rPr>
        <w:t>1.1.2乙方负责在甲方办理附件一《河道疏浚前置条件及河道疏浚砂审批流程》</w:t>
      </w:r>
      <w:r>
        <w:rPr>
          <w:rFonts w:hint="eastAsia"/>
          <w:sz w:val="28"/>
          <w:szCs w:val="28"/>
          <w:highlight w:val="none"/>
          <w:lang w:val="en-US" w:eastAsia="zh-CN"/>
        </w:rPr>
        <w:t>2至7项手续办理和</w:t>
      </w:r>
      <w:r>
        <w:rPr>
          <w:rFonts w:hint="eastAsia"/>
          <w:sz w:val="28"/>
          <w:szCs w:val="28"/>
          <w:highlight w:val="none"/>
        </w:rPr>
        <w:t>报批过程中提供专业服务和解释工作</w:t>
      </w:r>
      <w:r>
        <w:rPr>
          <w:rFonts w:hint="eastAsia"/>
          <w:sz w:val="28"/>
          <w:szCs w:val="28"/>
          <w:highlight w:val="none"/>
          <w:lang w:eastAsia="zh-CN"/>
        </w:rPr>
        <w:t>，</w:t>
      </w:r>
      <w:r>
        <w:rPr>
          <w:rFonts w:hint="eastAsia"/>
          <w:sz w:val="28"/>
          <w:szCs w:val="28"/>
          <w:highlight w:val="none"/>
          <w:lang w:val="en-US" w:eastAsia="zh-CN"/>
        </w:rPr>
        <w:t>保证审批通过。</w:t>
      </w:r>
    </w:p>
    <w:p w14:paraId="6722C03F">
      <w:pPr>
        <w:ind w:firstLine="560" w:firstLineChars="200"/>
        <w:rPr>
          <w:rFonts w:hint="eastAsia"/>
          <w:sz w:val="28"/>
          <w:szCs w:val="28"/>
          <w:highlight w:val="none"/>
        </w:rPr>
      </w:pPr>
      <w:r>
        <w:rPr>
          <w:rFonts w:hint="eastAsia"/>
          <w:sz w:val="28"/>
          <w:szCs w:val="28"/>
          <w:highlight w:val="none"/>
        </w:rPr>
        <w:t>1.1.3负责手续办理期间相关资料文件编制。</w:t>
      </w:r>
    </w:p>
    <w:p w14:paraId="487542C9">
      <w:pPr>
        <w:ind w:firstLine="560" w:firstLineChars="200"/>
        <w:rPr>
          <w:rFonts w:hint="default" w:eastAsia="宋体"/>
          <w:sz w:val="28"/>
          <w:szCs w:val="28"/>
          <w:highlight w:val="none"/>
          <w:lang w:val="en-US" w:eastAsia="zh-CN"/>
        </w:rPr>
      </w:pPr>
      <w:r>
        <w:rPr>
          <w:rFonts w:hint="eastAsia"/>
          <w:sz w:val="28"/>
          <w:szCs w:val="28"/>
          <w:highlight w:val="none"/>
          <w:lang w:val="en-US" w:eastAsia="zh-CN"/>
        </w:rPr>
        <w:t>1.1.4乙方负责县级部门审批费用，州评审费用由甲方负责。</w:t>
      </w:r>
    </w:p>
    <w:p w14:paraId="2C1DBDC8">
      <w:pPr>
        <w:ind w:firstLine="560" w:firstLineChars="200"/>
        <w:rPr>
          <w:sz w:val="28"/>
          <w:szCs w:val="28"/>
          <w:highlight w:val="none"/>
        </w:rPr>
      </w:pPr>
      <w:r>
        <w:rPr>
          <w:rFonts w:hint="eastAsia"/>
          <w:sz w:val="28"/>
          <w:szCs w:val="28"/>
          <w:highlight w:val="none"/>
        </w:rPr>
        <w:t>1.2依据的法律法规、技术规范、标准</w:t>
      </w:r>
    </w:p>
    <w:p w14:paraId="0C065E34">
      <w:pPr>
        <w:ind w:firstLine="560" w:firstLineChars="200"/>
        <w:rPr>
          <w:sz w:val="28"/>
          <w:szCs w:val="28"/>
          <w:highlight w:val="none"/>
        </w:rPr>
      </w:pPr>
      <w:r>
        <w:rPr>
          <w:rFonts w:hint="eastAsia"/>
          <w:sz w:val="28"/>
          <w:szCs w:val="28"/>
          <w:highlight w:val="none"/>
        </w:rPr>
        <w:t>1.2.1河道清淤有关的法律法规条例，以及新水规【2024】2号《关于实行河道砂石采运管理单制度的通知》的有关规定。</w:t>
      </w:r>
    </w:p>
    <w:p w14:paraId="278ECB66">
      <w:pPr>
        <w:ind w:firstLine="560" w:firstLineChars="200"/>
        <w:rPr>
          <w:sz w:val="28"/>
          <w:szCs w:val="28"/>
          <w:highlight w:val="none"/>
        </w:rPr>
      </w:pPr>
      <w:r>
        <w:rPr>
          <w:rFonts w:hint="eastAsia"/>
          <w:sz w:val="28"/>
          <w:szCs w:val="28"/>
          <w:highlight w:val="none"/>
        </w:rPr>
        <w:t>1.2.2河道清淤有关的技术规范和标准。</w:t>
      </w:r>
    </w:p>
    <w:p w14:paraId="3B363117">
      <w:pPr>
        <w:ind w:firstLine="560" w:firstLineChars="200"/>
        <w:rPr>
          <w:sz w:val="28"/>
          <w:szCs w:val="28"/>
          <w:highlight w:val="none"/>
        </w:rPr>
      </w:pPr>
      <w:r>
        <w:rPr>
          <w:rFonts w:hint="eastAsia"/>
          <w:sz w:val="28"/>
          <w:szCs w:val="28"/>
          <w:highlight w:val="none"/>
        </w:rPr>
        <w:t>2.服务验收标准和服务期限</w:t>
      </w:r>
    </w:p>
    <w:p w14:paraId="68C812EE">
      <w:pPr>
        <w:ind w:firstLine="560" w:firstLineChars="200"/>
        <w:rPr>
          <w:sz w:val="28"/>
          <w:szCs w:val="28"/>
          <w:highlight w:val="none"/>
        </w:rPr>
      </w:pPr>
      <w:r>
        <w:rPr>
          <w:rFonts w:hint="eastAsia"/>
          <w:sz w:val="28"/>
          <w:szCs w:val="28"/>
          <w:highlight w:val="none"/>
        </w:rPr>
        <w:t>2.东都果尔水电站《河道疏浚砂综合利用规划》及《河道疏浚砂综合利用实施方案》符合报批的各项要求。根据行政部门要求提供相应的份数，同时向甲方提供两份。</w:t>
      </w:r>
    </w:p>
    <w:p w14:paraId="5E8B290C">
      <w:pPr>
        <w:ind w:firstLine="560" w:firstLineChars="200"/>
        <w:rPr>
          <w:sz w:val="28"/>
          <w:szCs w:val="28"/>
          <w:highlight w:val="none"/>
        </w:rPr>
      </w:pPr>
      <w:r>
        <w:rPr>
          <w:rFonts w:hint="eastAsia"/>
          <w:sz w:val="28"/>
          <w:szCs w:val="28"/>
          <w:highlight w:val="none"/>
        </w:rPr>
        <w:t>2.2服务期限：合同签订后15天内。</w:t>
      </w:r>
    </w:p>
    <w:p w14:paraId="1BB2A37A">
      <w:pPr>
        <w:ind w:firstLine="560" w:firstLineChars="200"/>
        <w:rPr>
          <w:sz w:val="28"/>
          <w:szCs w:val="28"/>
          <w:highlight w:val="none"/>
        </w:rPr>
      </w:pPr>
      <w:r>
        <w:rPr>
          <w:rFonts w:hint="eastAsia"/>
          <w:sz w:val="28"/>
          <w:szCs w:val="28"/>
          <w:highlight w:val="none"/>
        </w:rPr>
        <w:t>3.费用</w:t>
      </w:r>
    </w:p>
    <w:p w14:paraId="2F364B4D">
      <w:pPr>
        <w:ind w:firstLine="560" w:firstLineChars="200"/>
        <w:rPr>
          <w:sz w:val="28"/>
          <w:szCs w:val="28"/>
          <w:highlight w:val="none"/>
        </w:rPr>
      </w:pPr>
      <w:r>
        <w:rPr>
          <w:rFonts w:hint="eastAsia"/>
          <w:sz w:val="28"/>
          <w:szCs w:val="28"/>
          <w:highlight w:val="none"/>
        </w:rPr>
        <w:t>双方商定，本合同的费用为10万元（壹拾万元整）。</w:t>
      </w:r>
    </w:p>
    <w:p w14:paraId="50F3837E">
      <w:pPr>
        <w:ind w:firstLine="560" w:firstLineChars="200"/>
        <w:rPr>
          <w:sz w:val="28"/>
          <w:szCs w:val="28"/>
          <w:highlight w:val="none"/>
        </w:rPr>
      </w:pPr>
      <w:r>
        <w:rPr>
          <w:rFonts w:hint="eastAsia"/>
          <w:sz w:val="28"/>
          <w:szCs w:val="28"/>
          <w:highlight w:val="none"/>
        </w:rPr>
        <w:t>4.支付方式</w:t>
      </w:r>
    </w:p>
    <w:p w14:paraId="29084D4B">
      <w:pPr>
        <w:ind w:firstLine="560" w:firstLineChars="200"/>
        <w:rPr>
          <w:sz w:val="28"/>
          <w:szCs w:val="28"/>
          <w:highlight w:val="none"/>
        </w:rPr>
      </w:pPr>
      <w:r>
        <w:rPr>
          <w:rFonts w:hint="eastAsia"/>
          <w:sz w:val="28"/>
          <w:szCs w:val="28"/>
          <w:highlight w:val="none"/>
        </w:rPr>
        <w:t>4.1本合同生效后七天内，甲方预付</w:t>
      </w:r>
      <w:r>
        <w:rPr>
          <w:rFonts w:hint="eastAsia"/>
          <w:sz w:val="28"/>
          <w:szCs w:val="28"/>
          <w:highlight w:val="none"/>
          <w:lang w:val="en-US" w:eastAsia="zh-CN"/>
        </w:rPr>
        <w:t>3</w:t>
      </w:r>
      <w:r>
        <w:rPr>
          <w:rFonts w:hint="eastAsia"/>
          <w:sz w:val="28"/>
          <w:szCs w:val="28"/>
          <w:highlight w:val="none"/>
        </w:rPr>
        <w:t>万元作为定金。</w:t>
      </w:r>
    </w:p>
    <w:p w14:paraId="1E9B57E3">
      <w:pPr>
        <w:widowControl/>
        <w:ind w:firstLine="560" w:firstLineChars="200"/>
        <w:jc w:val="left"/>
        <w:rPr>
          <w:sz w:val="28"/>
          <w:szCs w:val="28"/>
          <w:highlight w:val="none"/>
        </w:rPr>
      </w:pPr>
      <w:r>
        <w:rPr>
          <w:rFonts w:hint="eastAsia"/>
          <w:sz w:val="28"/>
          <w:szCs w:val="28"/>
          <w:highlight w:val="none"/>
        </w:rPr>
        <w:t>4.2乙方完成综合利用规划及实施方案</w:t>
      </w:r>
      <w:r>
        <w:rPr>
          <w:rFonts w:hint="eastAsia"/>
          <w:sz w:val="28"/>
          <w:szCs w:val="28"/>
          <w:highlight w:val="none"/>
          <w:lang w:eastAsia="zh-CN"/>
        </w:rPr>
        <w:t>，</w:t>
      </w:r>
      <w:r>
        <w:rPr>
          <w:rFonts w:hint="eastAsia"/>
          <w:sz w:val="28"/>
          <w:szCs w:val="28"/>
          <w:highlight w:val="none"/>
        </w:rPr>
        <w:t>并</w:t>
      </w:r>
      <w:r>
        <w:rPr>
          <w:rFonts w:hint="eastAsia"/>
          <w:sz w:val="28"/>
          <w:szCs w:val="28"/>
          <w:highlight w:val="none"/>
          <w:lang w:val="en-US" w:eastAsia="zh-CN"/>
        </w:rPr>
        <w:t>根据《</w:t>
      </w:r>
      <w:r>
        <w:rPr>
          <w:rFonts w:hint="eastAsia"/>
          <w:sz w:val="28"/>
          <w:szCs w:val="28"/>
          <w:highlight w:val="none"/>
        </w:rPr>
        <w:t>河道疏浚前置条件及河道疏浚砂审批流程</w:t>
      </w:r>
      <w:r>
        <w:rPr>
          <w:rFonts w:hint="eastAsia"/>
          <w:sz w:val="28"/>
          <w:szCs w:val="28"/>
          <w:highlight w:val="none"/>
          <w:lang w:val="en-US" w:eastAsia="zh-CN"/>
        </w:rPr>
        <w:t>》</w:t>
      </w:r>
      <w:r>
        <w:rPr>
          <w:rFonts w:hint="eastAsia"/>
          <w:sz w:val="28"/>
          <w:szCs w:val="28"/>
          <w:highlight w:val="none"/>
        </w:rPr>
        <w:t>通过</w:t>
      </w:r>
      <w:r>
        <w:rPr>
          <w:rFonts w:hint="eastAsia"/>
          <w:sz w:val="28"/>
          <w:szCs w:val="28"/>
          <w:highlight w:val="none"/>
          <w:lang w:val="en-US" w:eastAsia="zh-CN"/>
        </w:rPr>
        <w:t>伊犁</w:t>
      </w:r>
      <w:r>
        <w:rPr>
          <w:rFonts w:hint="eastAsia"/>
          <w:sz w:val="28"/>
          <w:szCs w:val="28"/>
          <w:highlight w:val="none"/>
        </w:rPr>
        <w:t>州水利局审查后七日内，甲方支付</w:t>
      </w:r>
      <w:r>
        <w:rPr>
          <w:rFonts w:hint="eastAsia"/>
          <w:sz w:val="28"/>
          <w:szCs w:val="28"/>
          <w:highlight w:val="none"/>
          <w:lang w:val="en-US" w:eastAsia="zh-CN"/>
        </w:rPr>
        <w:t>2</w:t>
      </w:r>
      <w:r>
        <w:rPr>
          <w:rFonts w:hint="eastAsia"/>
          <w:sz w:val="28"/>
          <w:szCs w:val="28"/>
          <w:highlight w:val="none"/>
        </w:rPr>
        <w:t>万元。</w:t>
      </w:r>
    </w:p>
    <w:p w14:paraId="3E8A0BE4">
      <w:pPr>
        <w:ind w:firstLine="560" w:firstLineChars="200"/>
        <w:rPr>
          <w:sz w:val="28"/>
          <w:szCs w:val="28"/>
          <w:highlight w:val="none"/>
        </w:rPr>
      </w:pPr>
      <w:r>
        <w:rPr>
          <w:rFonts w:hint="eastAsia"/>
          <w:sz w:val="28"/>
          <w:szCs w:val="28"/>
          <w:highlight w:val="none"/>
        </w:rPr>
        <w:t>4.3</w:t>
      </w:r>
      <w:r>
        <w:rPr>
          <w:rFonts w:hint="eastAsia"/>
          <w:sz w:val="28"/>
          <w:szCs w:val="28"/>
          <w:highlight w:val="none"/>
          <w:lang w:val="en-US" w:eastAsia="zh-CN"/>
        </w:rPr>
        <w:t>完成</w:t>
      </w:r>
      <w:r>
        <w:rPr>
          <w:rFonts w:hint="eastAsia"/>
          <w:sz w:val="28"/>
          <w:szCs w:val="28"/>
          <w:highlight w:val="none"/>
        </w:rPr>
        <w:t>附件一《河道疏浚前置条件及河道疏浚砂审批流程》</w:t>
      </w:r>
      <w:r>
        <w:rPr>
          <w:rFonts w:hint="eastAsia"/>
          <w:sz w:val="28"/>
          <w:szCs w:val="28"/>
          <w:highlight w:val="none"/>
          <w:lang w:val="en-US" w:eastAsia="zh-CN"/>
        </w:rPr>
        <w:t>2至7项手续中县级手续办理，并协助甲方协调伊犁州水利局通过州水利局审批手续，在完成清淤</w:t>
      </w:r>
      <w:r>
        <w:rPr>
          <w:rFonts w:hint="eastAsia"/>
          <w:sz w:val="28"/>
          <w:szCs w:val="28"/>
          <w:highlight w:val="none"/>
        </w:rPr>
        <w:t>工程</w:t>
      </w:r>
      <w:r>
        <w:rPr>
          <w:rFonts w:hint="eastAsia"/>
          <w:sz w:val="28"/>
          <w:szCs w:val="28"/>
          <w:highlight w:val="none"/>
          <w:lang w:val="en-US" w:eastAsia="zh-CN"/>
        </w:rPr>
        <w:t>手续办理和清淤</w:t>
      </w:r>
      <w:r>
        <w:rPr>
          <w:rFonts w:hint="eastAsia"/>
          <w:sz w:val="28"/>
          <w:szCs w:val="28"/>
          <w:highlight w:val="none"/>
        </w:rPr>
        <w:t>开始施工后，甲方</w:t>
      </w:r>
      <w:r>
        <w:rPr>
          <w:rFonts w:hint="eastAsia"/>
          <w:sz w:val="28"/>
          <w:szCs w:val="28"/>
          <w:highlight w:val="none"/>
          <w:lang w:val="en-US" w:eastAsia="zh-CN"/>
        </w:rPr>
        <w:t>向乙方</w:t>
      </w:r>
      <w:r>
        <w:rPr>
          <w:rFonts w:hint="eastAsia"/>
          <w:sz w:val="28"/>
          <w:szCs w:val="28"/>
          <w:highlight w:val="none"/>
        </w:rPr>
        <w:t>支付</w:t>
      </w:r>
      <w:r>
        <w:rPr>
          <w:rFonts w:hint="eastAsia"/>
          <w:sz w:val="28"/>
          <w:szCs w:val="28"/>
          <w:highlight w:val="none"/>
          <w:lang w:val="en-US" w:eastAsia="zh-CN"/>
        </w:rPr>
        <w:t>尾款5</w:t>
      </w:r>
      <w:r>
        <w:rPr>
          <w:rFonts w:hint="eastAsia"/>
          <w:sz w:val="28"/>
          <w:szCs w:val="28"/>
          <w:highlight w:val="none"/>
        </w:rPr>
        <w:t>万元。本合同费用全部结清。</w:t>
      </w:r>
    </w:p>
    <w:p w14:paraId="50F6F4E8">
      <w:pPr>
        <w:ind w:firstLine="560" w:firstLineChars="200"/>
        <w:rPr>
          <w:sz w:val="28"/>
          <w:szCs w:val="28"/>
          <w:highlight w:val="none"/>
        </w:rPr>
      </w:pPr>
      <w:r>
        <w:rPr>
          <w:rFonts w:hint="eastAsia"/>
          <w:sz w:val="28"/>
          <w:szCs w:val="28"/>
          <w:highlight w:val="none"/>
        </w:rPr>
        <w:t>4.4乙方应在甲方付款前提供合法合规的发票，否则甲方有权顺延相应付款期限。</w:t>
      </w:r>
    </w:p>
    <w:p w14:paraId="2D1E4246">
      <w:pPr>
        <w:ind w:firstLine="560" w:firstLineChars="200"/>
        <w:rPr>
          <w:sz w:val="28"/>
          <w:szCs w:val="28"/>
          <w:highlight w:val="none"/>
        </w:rPr>
      </w:pPr>
      <w:r>
        <w:rPr>
          <w:rFonts w:hint="eastAsia"/>
          <w:sz w:val="28"/>
          <w:szCs w:val="28"/>
          <w:highlight w:val="none"/>
          <w:lang w:val="en-US" w:eastAsia="zh-CN"/>
        </w:rPr>
        <w:t>5</w:t>
      </w:r>
      <w:r>
        <w:rPr>
          <w:rFonts w:hint="eastAsia"/>
          <w:sz w:val="28"/>
          <w:szCs w:val="28"/>
          <w:highlight w:val="none"/>
        </w:rPr>
        <w:t>.双方责任</w:t>
      </w:r>
    </w:p>
    <w:p w14:paraId="7CE130AC">
      <w:pPr>
        <w:ind w:firstLine="560" w:firstLineChars="200"/>
        <w:rPr>
          <w:sz w:val="28"/>
          <w:szCs w:val="28"/>
          <w:highlight w:val="none"/>
        </w:rPr>
      </w:pPr>
      <w:r>
        <w:rPr>
          <w:rFonts w:hint="eastAsia"/>
          <w:sz w:val="28"/>
          <w:szCs w:val="28"/>
          <w:highlight w:val="none"/>
          <w:lang w:val="en-US" w:eastAsia="zh-CN"/>
        </w:rPr>
        <w:t>5</w:t>
      </w:r>
      <w:r>
        <w:rPr>
          <w:rFonts w:hint="eastAsia"/>
          <w:sz w:val="28"/>
          <w:szCs w:val="28"/>
          <w:highlight w:val="none"/>
        </w:rPr>
        <w:t>.1甲方责任</w:t>
      </w:r>
    </w:p>
    <w:p w14:paraId="66152DFE">
      <w:pPr>
        <w:ind w:firstLine="560" w:firstLineChars="200"/>
        <w:rPr>
          <w:sz w:val="28"/>
          <w:szCs w:val="28"/>
          <w:highlight w:val="none"/>
        </w:rPr>
      </w:pPr>
      <w:r>
        <w:rPr>
          <w:rFonts w:hint="eastAsia"/>
          <w:sz w:val="28"/>
          <w:szCs w:val="28"/>
          <w:highlight w:val="none"/>
          <w:lang w:val="en-US" w:eastAsia="zh-CN"/>
        </w:rPr>
        <w:t>5</w:t>
      </w:r>
      <w:r>
        <w:rPr>
          <w:rFonts w:hint="eastAsia"/>
          <w:sz w:val="28"/>
          <w:szCs w:val="28"/>
          <w:highlight w:val="none"/>
        </w:rPr>
        <w:t>.1.1甲方对向乙方提交基础资料及文件的整性和正确性。甲方不得要求乙方违反国家有关标准进行设计。</w:t>
      </w:r>
    </w:p>
    <w:p w14:paraId="55925EAF">
      <w:pPr>
        <w:ind w:firstLine="560" w:firstLineChars="200"/>
        <w:rPr>
          <w:sz w:val="28"/>
          <w:szCs w:val="28"/>
          <w:highlight w:val="none"/>
        </w:rPr>
      </w:pPr>
      <w:r>
        <w:rPr>
          <w:rFonts w:hint="eastAsia"/>
          <w:sz w:val="28"/>
          <w:szCs w:val="28"/>
          <w:highlight w:val="none"/>
          <w:lang w:val="en-US" w:eastAsia="zh-CN"/>
        </w:rPr>
        <w:t>5</w:t>
      </w:r>
      <w:r>
        <w:rPr>
          <w:rFonts w:hint="eastAsia"/>
          <w:sz w:val="28"/>
          <w:szCs w:val="28"/>
          <w:highlight w:val="none"/>
        </w:rPr>
        <w:t>.1.2甲方变更委托设计项目、规模、条件或因提交的资料错误，或所提交资料作全套修改，以致造成乙方设计返工时，双方除另行协商签订补充协议（或另订合同）、重新明确有关条款外，甲方应按乙方所耗工作量向乙方支付返工费。</w:t>
      </w:r>
    </w:p>
    <w:p w14:paraId="6B47519D">
      <w:pPr>
        <w:ind w:firstLine="560" w:firstLineChars="200"/>
        <w:rPr>
          <w:sz w:val="28"/>
          <w:szCs w:val="28"/>
          <w:highlight w:val="none"/>
        </w:rPr>
      </w:pPr>
      <w:r>
        <w:rPr>
          <w:rFonts w:hint="eastAsia"/>
          <w:sz w:val="28"/>
          <w:szCs w:val="28"/>
          <w:highlight w:val="none"/>
        </w:rPr>
        <w:t>在未签订合同前甲方已同意，乙方为甲方所做的各项设计工作，甲方应支付相应设计费。</w:t>
      </w:r>
    </w:p>
    <w:p w14:paraId="2A12DF69">
      <w:pPr>
        <w:ind w:firstLine="560" w:firstLineChars="200"/>
        <w:rPr>
          <w:sz w:val="28"/>
          <w:szCs w:val="28"/>
          <w:highlight w:val="none"/>
        </w:rPr>
      </w:pPr>
      <w:r>
        <w:rPr>
          <w:rFonts w:hint="eastAsia"/>
          <w:sz w:val="28"/>
          <w:szCs w:val="28"/>
          <w:highlight w:val="none"/>
          <w:lang w:val="en-US" w:eastAsia="zh-CN"/>
        </w:rPr>
        <w:t>5</w:t>
      </w:r>
      <w:r>
        <w:rPr>
          <w:rFonts w:hint="eastAsia"/>
          <w:sz w:val="28"/>
          <w:szCs w:val="28"/>
          <w:highlight w:val="none"/>
        </w:rPr>
        <w:t>.1.3甲方必须按合同规定支付定金，收到定金作为乙方设计开工的标志。未收到定金，乙方有权推迟设计工作的开工时间，且交付文件的时间顺延。</w:t>
      </w:r>
    </w:p>
    <w:p w14:paraId="31117DDC">
      <w:pPr>
        <w:ind w:firstLine="560" w:firstLineChars="200"/>
        <w:rPr>
          <w:sz w:val="28"/>
          <w:szCs w:val="28"/>
          <w:highlight w:val="none"/>
        </w:rPr>
      </w:pPr>
      <w:r>
        <w:rPr>
          <w:rFonts w:hint="eastAsia"/>
          <w:sz w:val="28"/>
          <w:szCs w:val="28"/>
          <w:highlight w:val="none"/>
          <w:lang w:val="en-US" w:eastAsia="zh-CN"/>
        </w:rPr>
        <w:t>5</w:t>
      </w:r>
      <w:r>
        <w:rPr>
          <w:rFonts w:hint="eastAsia"/>
          <w:sz w:val="28"/>
          <w:szCs w:val="28"/>
          <w:highlight w:val="none"/>
        </w:rPr>
        <w:t>.1.4甲方应按本合同规定的金额和日期向乙方支付设计费，每逾期支付一天，应承担应支付金额0.1‰的逾期违约金，且乙方提交设计文件的时间顺延。逾期超过25天以上时，乙方有权暂停履行下阶段工作，并书面通知甲方。甲方的上级或设计审批部门对设计文件不审批或本合同项目停缓建，甲方均应支付应付的设计费。</w:t>
      </w:r>
    </w:p>
    <w:p w14:paraId="07163C0A">
      <w:pPr>
        <w:ind w:firstLine="560" w:firstLineChars="200"/>
        <w:rPr>
          <w:sz w:val="28"/>
          <w:szCs w:val="28"/>
          <w:highlight w:val="none"/>
        </w:rPr>
      </w:pPr>
      <w:r>
        <w:rPr>
          <w:rFonts w:hint="eastAsia"/>
          <w:sz w:val="28"/>
          <w:szCs w:val="28"/>
          <w:highlight w:val="none"/>
          <w:lang w:val="en-US" w:eastAsia="zh-CN"/>
        </w:rPr>
        <w:t>5</w:t>
      </w:r>
      <w:r>
        <w:rPr>
          <w:rFonts w:hint="eastAsia"/>
          <w:sz w:val="28"/>
          <w:szCs w:val="28"/>
          <w:highlight w:val="none"/>
        </w:rPr>
        <w:t>.1.5甲方要求乙方比合同规定时间提前交付设计文件时，须征得乙方同意，不得严重背离合理设计周期。</w:t>
      </w:r>
    </w:p>
    <w:p w14:paraId="7B09FA4F">
      <w:pPr>
        <w:ind w:firstLine="560" w:firstLineChars="200"/>
        <w:rPr>
          <w:sz w:val="28"/>
          <w:szCs w:val="28"/>
          <w:highlight w:val="none"/>
        </w:rPr>
      </w:pPr>
      <w:r>
        <w:rPr>
          <w:rFonts w:hint="eastAsia"/>
          <w:sz w:val="28"/>
          <w:szCs w:val="28"/>
          <w:highlight w:val="none"/>
          <w:lang w:val="en-US" w:eastAsia="zh-CN"/>
        </w:rPr>
        <w:t>5</w:t>
      </w:r>
      <w:r>
        <w:rPr>
          <w:rFonts w:hint="eastAsia"/>
          <w:sz w:val="28"/>
          <w:szCs w:val="28"/>
          <w:highlight w:val="none"/>
        </w:rPr>
        <w:t>.1.6甲方应为乙方派驻现场的工作人员提供工作、生活及交通等方面的便利条件及必要的劳动保护装备。</w:t>
      </w:r>
    </w:p>
    <w:p w14:paraId="48D4AF1F">
      <w:pPr>
        <w:ind w:firstLine="560" w:firstLineChars="200"/>
        <w:rPr>
          <w:sz w:val="28"/>
          <w:szCs w:val="28"/>
          <w:highlight w:val="none"/>
        </w:rPr>
      </w:pPr>
      <w:r>
        <w:rPr>
          <w:rFonts w:hint="eastAsia"/>
          <w:sz w:val="28"/>
          <w:szCs w:val="28"/>
          <w:highlight w:val="none"/>
          <w:lang w:val="en-US" w:eastAsia="zh-CN"/>
        </w:rPr>
        <w:t>5</w:t>
      </w:r>
      <w:r>
        <w:rPr>
          <w:rFonts w:hint="eastAsia"/>
          <w:sz w:val="28"/>
          <w:szCs w:val="28"/>
          <w:highlight w:val="none"/>
        </w:rPr>
        <w:t>.2乙方责任</w:t>
      </w:r>
    </w:p>
    <w:p w14:paraId="224F0D02">
      <w:pPr>
        <w:ind w:firstLine="560" w:firstLineChars="200"/>
        <w:rPr>
          <w:sz w:val="28"/>
          <w:szCs w:val="28"/>
          <w:highlight w:val="none"/>
        </w:rPr>
      </w:pPr>
      <w:r>
        <w:rPr>
          <w:rFonts w:hint="eastAsia"/>
          <w:sz w:val="28"/>
          <w:szCs w:val="28"/>
          <w:highlight w:val="none"/>
          <w:lang w:val="en-US" w:eastAsia="zh-CN"/>
        </w:rPr>
        <w:t>5</w:t>
      </w:r>
      <w:r>
        <w:rPr>
          <w:rFonts w:hint="eastAsia"/>
          <w:sz w:val="28"/>
          <w:szCs w:val="28"/>
          <w:highlight w:val="none"/>
        </w:rPr>
        <w:t>.2.1乙方应按国家规定和合同约定的技术规范标准进行设计，按本合同第六条“乙方向甲方交付的设计文件、份数及时限”规定的内容、时间及份数向甲方交付设计文件（出现</w:t>
      </w:r>
      <w:r>
        <w:rPr>
          <w:rFonts w:hint="eastAsia"/>
          <w:sz w:val="28"/>
          <w:szCs w:val="28"/>
          <w:highlight w:val="none"/>
          <w:lang w:val="en-US" w:eastAsia="zh-CN"/>
        </w:rPr>
        <w:t>5</w:t>
      </w:r>
      <w:r>
        <w:rPr>
          <w:rFonts w:hint="eastAsia"/>
          <w:sz w:val="28"/>
          <w:szCs w:val="28"/>
          <w:highlight w:val="none"/>
        </w:rPr>
        <w:t>.1.2、</w:t>
      </w:r>
      <w:r>
        <w:rPr>
          <w:rFonts w:hint="eastAsia"/>
          <w:sz w:val="28"/>
          <w:szCs w:val="28"/>
          <w:highlight w:val="none"/>
          <w:lang w:val="en-US" w:eastAsia="zh-CN"/>
        </w:rPr>
        <w:t>5</w:t>
      </w:r>
      <w:r>
        <w:rPr>
          <w:rFonts w:hint="eastAsia"/>
          <w:sz w:val="28"/>
          <w:szCs w:val="28"/>
          <w:highlight w:val="none"/>
        </w:rPr>
        <w:t>.1.3规定有关交付设计文件顺延的情况除外）。并对提交的设计文件的质量负责。</w:t>
      </w:r>
    </w:p>
    <w:p w14:paraId="5EF8D4B9">
      <w:pPr>
        <w:ind w:firstLine="560" w:firstLineChars="200"/>
        <w:rPr>
          <w:sz w:val="28"/>
          <w:szCs w:val="28"/>
          <w:highlight w:val="none"/>
        </w:rPr>
      </w:pPr>
      <w:r>
        <w:rPr>
          <w:rFonts w:hint="eastAsia"/>
          <w:sz w:val="28"/>
          <w:szCs w:val="28"/>
          <w:highlight w:val="none"/>
          <w:lang w:val="en-US" w:eastAsia="zh-CN"/>
        </w:rPr>
        <w:t>5</w:t>
      </w:r>
      <w:r>
        <w:rPr>
          <w:rFonts w:hint="eastAsia"/>
          <w:sz w:val="28"/>
          <w:szCs w:val="28"/>
          <w:highlight w:val="none"/>
        </w:rPr>
        <w:t>.2.</w:t>
      </w:r>
      <w:r>
        <w:rPr>
          <w:rFonts w:hint="eastAsia"/>
          <w:sz w:val="28"/>
          <w:szCs w:val="28"/>
          <w:highlight w:val="none"/>
          <w:lang w:val="en-US" w:eastAsia="zh-CN"/>
        </w:rPr>
        <w:t>2</w:t>
      </w:r>
      <w:r>
        <w:rPr>
          <w:rFonts w:hint="eastAsia"/>
          <w:sz w:val="28"/>
          <w:szCs w:val="28"/>
          <w:highlight w:val="none"/>
        </w:rPr>
        <w:t>乙方对设计文件出现的遗漏或错误负责修改或补充。由于乙方设计错误造成的损失，乙方除负责采取补救措施外，应免收受损失部分的设计费，并根据损失程度向甲方支付赔偿金，赔偿金数额由双方商定为实际损失的30%。</w:t>
      </w:r>
    </w:p>
    <w:p w14:paraId="0B059853">
      <w:pPr>
        <w:ind w:firstLine="560" w:firstLineChars="200"/>
        <w:rPr>
          <w:sz w:val="28"/>
          <w:szCs w:val="28"/>
          <w:highlight w:val="none"/>
        </w:rPr>
      </w:pPr>
      <w:r>
        <w:rPr>
          <w:rFonts w:hint="eastAsia"/>
          <w:sz w:val="28"/>
          <w:szCs w:val="28"/>
          <w:highlight w:val="none"/>
          <w:lang w:val="en-US" w:eastAsia="zh-CN"/>
        </w:rPr>
        <w:t>5</w:t>
      </w:r>
      <w:r>
        <w:rPr>
          <w:rFonts w:hint="eastAsia"/>
          <w:sz w:val="28"/>
          <w:szCs w:val="28"/>
          <w:highlight w:val="none"/>
        </w:rPr>
        <w:t>.2.</w:t>
      </w:r>
      <w:r>
        <w:rPr>
          <w:rFonts w:hint="eastAsia"/>
          <w:sz w:val="28"/>
          <w:szCs w:val="28"/>
          <w:highlight w:val="none"/>
          <w:lang w:val="en-US" w:eastAsia="zh-CN"/>
        </w:rPr>
        <w:t>3</w:t>
      </w:r>
      <w:r>
        <w:rPr>
          <w:rFonts w:hint="eastAsia"/>
          <w:sz w:val="28"/>
          <w:szCs w:val="28"/>
          <w:highlight w:val="none"/>
        </w:rPr>
        <w:t>由于乙方原因，延误了设计文件交付时间，每延误一天，应减收该项目应收设计费的5‰。</w:t>
      </w:r>
    </w:p>
    <w:p w14:paraId="70B156D4">
      <w:pPr>
        <w:ind w:firstLine="560" w:firstLineChars="200"/>
        <w:rPr>
          <w:sz w:val="28"/>
          <w:szCs w:val="28"/>
          <w:highlight w:val="none"/>
        </w:rPr>
      </w:pPr>
      <w:r>
        <w:rPr>
          <w:rFonts w:hint="eastAsia"/>
          <w:sz w:val="28"/>
          <w:szCs w:val="28"/>
          <w:highlight w:val="none"/>
          <w:lang w:val="en-US" w:eastAsia="zh-CN"/>
        </w:rPr>
        <w:t>5</w:t>
      </w:r>
      <w:r>
        <w:rPr>
          <w:rFonts w:hint="eastAsia"/>
          <w:sz w:val="28"/>
          <w:szCs w:val="28"/>
          <w:highlight w:val="none"/>
        </w:rPr>
        <w:t>.2.</w:t>
      </w:r>
      <w:r>
        <w:rPr>
          <w:rFonts w:hint="eastAsia"/>
          <w:sz w:val="28"/>
          <w:szCs w:val="28"/>
          <w:highlight w:val="none"/>
          <w:lang w:val="en-US" w:eastAsia="zh-CN"/>
        </w:rPr>
        <w:t>4</w:t>
      </w:r>
      <w:r>
        <w:rPr>
          <w:rFonts w:hint="eastAsia"/>
          <w:sz w:val="28"/>
          <w:szCs w:val="28"/>
          <w:highlight w:val="none"/>
        </w:rPr>
        <w:t>合同生效后，乙方要求终止或解除合同，乙方应双倍返还甲方已支付的定金。</w:t>
      </w:r>
    </w:p>
    <w:p w14:paraId="5E5D096F">
      <w:pPr>
        <w:ind w:firstLine="560" w:firstLineChars="200"/>
        <w:rPr>
          <w:rFonts w:hint="eastAsia"/>
          <w:sz w:val="28"/>
          <w:szCs w:val="28"/>
          <w:highlight w:val="none"/>
        </w:rPr>
      </w:pPr>
      <w:r>
        <w:rPr>
          <w:rFonts w:hint="eastAsia"/>
          <w:sz w:val="28"/>
          <w:szCs w:val="28"/>
          <w:highlight w:val="none"/>
          <w:lang w:val="en-US" w:eastAsia="zh-CN"/>
        </w:rPr>
        <w:t>5</w:t>
      </w:r>
      <w:r>
        <w:rPr>
          <w:rFonts w:hint="eastAsia"/>
          <w:sz w:val="28"/>
          <w:szCs w:val="28"/>
          <w:highlight w:val="none"/>
        </w:rPr>
        <w:t>.2.</w:t>
      </w:r>
      <w:r>
        <w:rPr>
          <w:rFonts w:hint="eastAsia"/>
          <w:sz w:val="28"/>
          <w:szCs w:val="28"/>
          <w:highlight w:val="none"/>
          <w:lang w:val="en-US" w:eastAsia="zh-CN"/>
        </w:rPr>
        <w:t>5</w:t>
      </w:r>
      <w:r>
        <w:rPr>
          <w:rFonts w:hint="eastAsia"/>
          <w:sz w:val="28"/>
          <w:szCs w:val="28"/>
          <w:highlight w:val="none"/>
        </w:rPr>
        <w:t>乙方交付设计文件后，按规定参加有关上级</w:t>
      </w:r>
      <w:r>
        <w:rPr>
          <w:rFonts w:hint="eastAsia"/>
          <w:sz w:val="28"/>
          <w:szCs w:val="28"/>
          <w:highlight w:val="none"/>
          <w:lang w:val="en-US" w:eastAsia="zh-CN"/>
        </w:rPr>
        <w:t>部门</w:t>
      </w:r>
      <w:r>
        <w:rPr>
          <w:rFonts w:hint="eastAsia"/>
          <w:sz w:val="28"/>
          <w:szCs w:val="28"/>
          <w:highlight w:val="none"/>
        </w:rPr>
        <w:t>的设计审查，并根据审查结论负责调整补充</w:t>
      </w:r>
      <w:r>
        <w:rPr>
          <w:rFonts w:hint="eastAsia"/>
          <w:sz w:val="28"/>
          <w:szCs w:val="28"/>
          <w:highlight w:val="none"/>
          <w:lang w:eastAsia="zh-CN"/>
        </w:rPr>
        <w:t>。</w:t>
      </w:r>
      <w:r>
        <w:rPr>
          <w:rFonts w:hint="eastAsia"/>
          <w:sz w:val="28"/>
          <w:szCs w:val="28"/>
          <w:highlight w:val="none"/>
          <w:lang w:val="en-US" w:eastAsia="zh-CN"/>
        </w:rPr>
        <w:t>设计文件在同一部门审查超过三次未能通过且每次对设计文件调整时间超过14天的，甲方有权终止合同并要求乙方退还已支付的</w:t>
      </w:r>
      <w:r>
        <w:rPr>
          <w:rFonts w:hint="eastAsia"/>
          <w:sz w:val="28"/>
          <w:szCs w:val="28"/>
          <w:highlight w:val="none"/>
        </w:rPr>
        <w:t>定金。</w:t>
      </w:r>
    </w:p>
    <w:p w14:paraId="323FE26F">
      <w:pPr>
        <w:ind w:firstLine="560" w:firstLineChars="200"/>
        <w:rPr>
          <w:sz w:val="28"/>
          <w:szCs w:val="28"/>
          <w:highlight w:val="none"/>
        </w:rPr>
      </w:pPr>
      <w:r>
        <w:rPr>
          <w:rFonts w:hint="eastAsia"/>
          <w:sz w:val="28"/>
          <w:szCs w:val="28"/>
          <w:highlight w:val="none"/>
          <w:lang w:val="en-US" w:eastAsia="zh-CN"/>
        </w:rPr>
        <w:t>6</w:t>
      </w:r>
      <w:r>
        <w:rPr>
          <w:rFonts w:hint="eastAsia"/>
          <w:sz w:val="28"/>
          <w:szCs w:val="28"/>
          <w:highlight w:val="none"/>
        </w:rPr>
        <w:t>.保密</w:t>
      </w:r>
    </w:p>
    <w:p w14:paraId="57DE8082">
      <w:pPr>
        <w:ind w:firstLine="560" w:firstLineChars="200"/>
        <w:rPr>
          <w:sz w:val="28"/>
          <w:szCs w:val="28"/>
          <w:highlight w:val="none"/>
        </w:rPr>
      </w:pPr>
      <w:r>
        <w:rPr>
          <w:rFonts w:hint="eastAsia"/>
          <w:sz w:val="28"/>
          <w:szCs w:val="28"/>
          <w:highlight w:val="none"/>
        </w:rPr>
        <w:t>双方均应保护对方的知识产权，未经对方同意，任何一方均不得对对方的资料及文件擅自修改、复制或向第三人转让或用于本合同项目外的项目。如发生以上情况，泄密方承担一切由此引起的后果并承担赔偿责任。</w:t>
      </w:r>
    </w:p>
    <w:p w14:paraId="0DF4E04F">
      <w:pPr>
        <w:ind w:firstLine="560" w:firstLineChars="200"/>
        <w:rPr>
          <w:sz w:val="28"/>
          <w:szCs w:val="28"/>
          <w:highlight w:val="none"/>
        </w:rPr>
      </w:pPr>
      <w:r>
        <w:rPr>
          <w:rFonts w:hint="eastAsia"/>
          <w:sz w:val="28"/>
          <w:szCs w:val="28"/>
          <w:highlight w:val="none"/>
          <w:lang w:val="en-US" w:eastAsia="zh-CN"/>
        </w:rPr>
        <w:t>7</w:t>
      </w:r>
      <w:r>
        <w:rPr>
          <w:rFonts w:hint="eastAsia"/>
          <w:sz w:val="28"/>
          <w:szCs w:val="28"/>
          <w:highlight w:val="none"/>
        </w:rPr>
        <w:t>.争议解决</w:t>
      </w:r>
    </w:p>
    <w:p w14:paraId="064DEB74">
      <w:pPr>
        <w:ind w:firstLine="560" w:firstLineChars="200"/>
        <w:rPr>
          <w:sz w:val="28"/>
          <w:szCs w:val="28"/>
          <w:highlight w:val="none"/>
        </w:rPr>
      </w:pPr>
      <w:r>
        <w:rPr>
          <w:rFonts w:hint="eastAsia"/>
          <w:sz w:val="28"/>
          <w:szCs w:val="28"/>
          <w:highlight w:val="none"/>
        </w:rPr>
        <w:t>双方在履行合同过程中如有未尽事宜或发生争议的，双方应友好协商，妥善解决。如确实协商不成的，可向本合同签订地（乌鲁木齐市</w:t>
      </w:r>
      <w:r>
        <w:rPr>
          <w:rFonts w:hint="eastAsia"/>
          <w:sz w:val="28"/>
          <w:szCs w:val="28"/>
          <w:highlight w:val="none"/>
          <w:lang w:val="en-US" w:eastAsia="zh-CN"/>
        </w:rPr>
        <w:t>新市区</w:t>
      </w:r>
      <w:bookmarkStart w:id="0" w:name="_GoBack"/>
      <w:bookmarkEnd w:id="0"/>
      <w:r>
        <w:rPr>
          <w:rFonts w:hint="eastAsia"/>
          <w:sz w:val="28"/>
          <w:szCs w:val="28"/>
          <w:highlight w:val="none"/>
        </w:rPr>
        <w:t>）人民法院提起诉讼解决。甲方为主张权利产生的所有费用（包括但不限于律师费、诉讼收费、保全费、诉讼保全担保费、公证费、鉴定费、评估费、以及因诉讼产生的交通费与住宿费等相关合理费用等）均由乙方进行承担。</w:t>
      </w:r>
    </w:p>
    <w:p w14:paraId="764E6FD1">
      <w:pPr>
        <w:ind w:firstLine="560" w:firstLineChars="200"/>
        <w:rPr>
          <w:sz w:val="28"/>
          <w:szCs w:val="28"/>
          <w:highlight w:val="none"/>
        </w:rPr>
      </w:pPr>
      <w:r>
        <w:rPr>
          <w:rFonts w:hint="eastAsia"/>
          <w:sz w:val="28"/>
          <w:szCs w:val="28"/>
          <w:highlight w:val="none"/>
          <w:lang w:val="en-US" w:eastAsia="zh-CN"/>
        </w:rPr>
        <w:t>8</w:t>
      </w:r>
      <w:r>
        <w:rPr>
          <w:rFonts w:hint="eastAsia"/>
          <w:sz w:val="28"/>
          <w:szCs w:val="28"/>
          <w:highlight w:val="none"/>
        </w:rPr>
        <w:t>.合同生效及其他</w:t>
      </w:r>
    </w:p>
    <w:p w14:paraId="3A24AB59">
      <w:pPr>
        <w:ind w:firstLine="560" w:firstLineChars="200"/>
        <w:rPr>
          <w:sz w:val="28"/>
          <w:szCs w:val="28"/>
          <w:highlight w:val="none"/>
        </w:rPr>
      </w:pPr>
      <w:r>
        <w:rPr>
          <w:rFonts w:hint="eastAsia"/>
          <w:sz w:val="28"/>
          <w:szCs w:val="28"/>
          <w:highlight w:val="none"/>
          <w:lang w:val="en-US" w:eastAsia="zh-CN"/>
        </w:rPr>
        <w:t>8</w:t>
      </w:r>
      <w:r>
        <w:rPr>
          <w:rFonts w:hint="eastAsia"/>
          <w:sz w:val="28"/>
          <w:szCs w:val="28"/>
          <w:highlight w:val="none"/>
        </w:rPr>
        <w:t>.1甲方委托乙方承担本合同内容以外的工作服务，另行签订协议并支付费用。</w:t>
      </w:r>
    </w:p>
    <w:p w14:paraId="2BCE4A14">
      <w:pPr>
        <w:ind w:firstLine="560" w:firstLineChars="200"/>
        <w:rPr>
          <w:sz w:val="28"/>
          <w:szCs w:val="28"/>
          <w:highlight w:val="none"/>
        </w:rPr>
      </w:pPr>
      <w:r>
        <w:rPr>
          <w:rFonts w:hint="eastAsia"/>
          <w:sz w:val="28"/>
          <w:szCs w:val="28"/>
          <w:highlight w:val="none"/>
          <w:lang w:val="en-US" w:eastAsia="zh-CN"/>
        </w:rPr>
        <w:t>8</w:t>
      </w:r>
      <w:r>
        <w:rPr>
          <w:rFonts w:hint="eastAsia"/>
          <w:sz w:val="28"/>
          <w:szCs w:val="28"/>
          <w:highlight w:val="none"/>
        </w:rPr>
        <w:t>.2由于不可抗力因素致使合同无法履行时，双方应及时协商解决。</w:t>
      </w:r>
    </w:p>
    <w:p w14:paraId="23FCA574">
      <w:pPr>
        <w:ind w:firstLine="560" w:firstLineChars="200"/>
        <w:rPr>
          <w:sz w:val="28"/>
          <w:szCs w:val="28"/>
          <w:highlight w:val="none"/>
        </w:rPr>
      </w:pPr>
      <w:r>
        <w:rPr>
          <w:rFonts w:hint="eastAsia"/>
          <w:sz w:val="28"/>
          <w:szCs w:val="28"/>
          <w:highlight w:val="none"/>
          <w:lang w:val="en-US" w:eastAsia="zh-CN"/>
        </w:rPr>
        <w:t>8</w:t>
      </w:r>
      <w:r>
        <w:rPr>
          <w:rFonts w:hint="eastAsia"/>
          <w:sz w:val="28"/>
          <w:szCs w:val="28"/>
          <w:highlight w:val="none"/>
        </w:rPr>
        <w:t>.3本合同双方签字盖章即生效，一式陆份，甲方肆份，乙方贰份。</w:t>
      </w:r>
    </w:p>
    <w:p w14:paraId="2E6411DB">
      <w:pPr>
        <w:ind w:firstLine="560" w:firstLineChars="200"/>
        <w:rPr>
          <w:sz w:val="28"/>
          <w:szCs w:val="28"/>
          <w:highlight w:val="none"/>
        </w:rPr>
      </w:pPr>
      <w:r>
        <w:rPr>
          <w:rFonts w:hint="eastAsia"/>
          <w:sz w:val="28"/>
          <w:szCs w:val="28"/>
          <w:highlight w:val="none"/>
          <w:lang w:val="en-US" w:eastAsia="zh-CN"/>
        </w:rPr>
        <w:t>8</w:t>
      </w:r>
      <w:r>
        <w:rPr>
          <w:rFonts w:hint="eastAsia"/>
          <w:sz w:val="28"/>
          <w:szCs w:val="28"/>
          <w:highlight w:val="none"/>
        </w:rPr>
        <w:t>.4双方履行完合同规定的义务后，本合同即行终止。</w:t>
      </w:r>
    </w:p>
    <w:p w14:paraId="500DD9AC">
      <w:pPr>
        <w:ind w:firstLine="560" w:firstLineChars="200"/>
        <w:rPr>
          <w:sz w:val="28"/>
          <w:szCs w:val="28"/>
          <w:highlight w:val="none"/>
        </w:rPr>
      </w:pPr>
      <w:r>
        <w:rPr>
          <w:rFonts w:hint="eastAsia"/>
          <w:sz w:val="28"/>
          <w:szCs w:val="28"/>
          <w:highlight w:val="none"/>
          <w:lang w:val="en-US" w:eastAsia="zh-CN"/>
        </w:rPr>
        <w:t>8</w:t>
      </w:r>
      <w:r>
        <w:rPr>
          <w:rFonts w:hint="eastAsia"/>
          <w:sz w:val="28"/>
          <w:szCs w:val="28"/>
          <w:highlight w:val="none"/>
        </w:rPr>
        <w:t>.5双方认可的来往传真、电子邮件、会议纪要等，均为合同的组成部分，与本合同具有同等法律效力。</w:t>
      </w:r>
    </w:p>
    <w:p w14:paraId="3E647087">
      <w:pPr>
        <w:ind w:firstLine="560" w:firstLineChars="200"/>
        <w:rPr>
          <w:sz w:val="28"/>
          <w:szCs w:val="28"/>
          <w:highlight w:val="none"/>
        </w:rPr>
      </w:pPr>
      <w:r>
        <w:rPr>
          <w:rFonts w:hint="eastAsia"/>
          <w:sz w:val="28"/>
          <w:szCs w:val="28"/>
          <w:highlight w:val="none"/>
          <w:lang w:val="en-US" w:eastAsia="zh-CN"/>
        </w:rPr>
        <w:t>8</w:t>
      </w:r>
      <w:r>
        <w:rPr>
          <w:rFonts w:hint="eastAsia"/>
          <w:sz w:val="28"/>
          <w:szCs w:val="28"/>
          <w:highlight w:val="none"/>
        </w:rPr>
        <w:t>.6以合同签署页载明的双方地址、电话、电子邮箱作为双方约定的送达地址。送达地址需要变更时应当及时向各方履行书面通知义务，未履行通知义务的，合同首部确认的送达地址仍视为有效送达地址。因以下情形导致法律文书未能被当事人接收的，依然产生送达的法律后果：</w:t>
      </w:r>
    </w:p>
    <w:p w14:paraId="2E3DCB1A">
      <w:pPr>
        <w:ind w:firstLine="560" w:firstLineChars="200"/>
        <w:rPr>
          <w:sz w:val="28"/>
          <w:szCs w:val="28"/>
          <w:highlight w:val="none"/>
        </w:rPr>
      </w:pPr>
      <w:r>
        <w:rPr>
          <w:rFonts w:hint="eastAsia"/>
          <w:sz w:val="28"/>
          <w:szCs w:val="28"/>
          <w:highlight w:val="none"/>
        </w:rPr>
        <w:t>①因各方当事人提供或者确认的送达地址不准确的；</w:t>
      </w:r>
    </w:p>
    <w:p w14:paraId="13A5790B">
      <w:pPr>
        <w:ind w:firstLine="560" w:firstLineChars="200"/>
        <w:rPr>
          <w:sz w:val="28"/>
          <w:szCs w:val="28"/>
          <w:highlight w:val="none"/>
        </w:rPr>
      </w:pPr>
      <w:r>
        <w:rPr>
          <w:rFonts w:hint="eastAsia"/>
          <w:sz w:val="28"/>
          <w:szCs w:val="28"/>
          <w:highlight w:val="none"/>
        </w:rPr>
        <w:t>②送达地址变更后未及时书面告知各方和人民法院的；</w:t>
      </w:r>
    </w:p>
    <w:p w14:paraId="4E21513E">
      <w:pPr>
        <w:ind w:firstLine="560" w:firstLineChars="200"/>
        <w:rPr>
          <w:sz w:val="28"/>
          <w:szCs w:val="28"/>
          <w:highlight w:val="none"/>
        </w:rPr>
      </w:pPr>
      <w:r>
        <w:rPr>
          <w:rFonts w:hint="eastAsia"/>
          <w:sz w:val="28"/>
          <w:szCs w:val="28"/>
          <w:highlight w:val="none"/>
        </w:rPr>
        <w:t>③各方当事人或有权签收人拒绝签收的。</w:t>
      </w:r>
    </w:p>
    <w:p w14:paraId="6F36A4D7">
      <w:pPr>
        <w:ind w:firstLine="560" w:firstLineChars="200"/>
        <w:rPr>
          <w:sz w:val="28"/>
          <w:szCs w:val="28"/>
          <w:highlight w:val="none"/>
        </w:rPr>
      </w:pPr>
      <w:r>
        <w:rPr>
          <w:rFonts w:hint="eastAsia"/>
          <w:sz w:val="28"/>
          <w:szCs w:val="28"/>
          <w:highlight w:val="none"/>
        </w:rPr>
        <w:t>发生上述情形时，邮寄送达的，以文书退回之日视为送达之日；微信送达、电子邮件送达的，以微信、电子邮件发送成功之日为送达之日； </w:t>
      </w:r>
    </w:p>
    <w:p w14:paraId="1E5ECCD6">
      <w:pPr>
        <w:ind w:firstLine="560" w:firstLineChars="200"/>
        <w:rPr>
          <w:sz w:val="28"/>
          <w:szCs w:val="28"/>
          <w:highlight w:val="none"/>
        </w:rPr>
      </w:pPr>
      <w:r>
        <w:rPr>
          <w:rFonts w:hint="eastAsia"/>
          <w:sz w:val="28"/>
          <w:szCs w:val="28"/>
          <w:highlight w:val="none"/>
          <w:lang w:val="en-US" w:eastAsia="zh-CN"/>
        </w:rPr>
        <w:t>9</w:t>
      </w:r>
      <w:r>
        <w:rPr>
          <w:rFonts w:hint="eastAsia"/>
          <w:sz w:val="28"/>
          <w:szCs w:val="28"/>
          <w:highlight w:val="none"/>
        </w:rPr>
        <w:t>未尽事宜，经双方协商一致，签订补充协议，补充协议与本合同具有同等效力。</w:t>
      </w:r>
    </w:p>
    <w:p w14:paraId="35E4E39E">
      <w:pPr>
        <w:ind w:firstLine="560" w:firstLineChars="200"/>
        <w:rPr>
          <w:sz w:val="28"/>
          <w:szCs w:val="28"/>
          <w:highlight w:val="none"/>
        </w:rPr>
      </w:pPr>
      <w:r>
        <w:rPr>
          <w:rFonts w:hint="eastAsia"/>
          <w:sz w:val="28"/>
          <w:szCs w:val="28"/>
          <w:highlight w:val="none"/>
        </w:rPr>
        <w:t>（以下无正文）</w:t>
      </w:r>
    </w:p>
    <w:p w14:paraId="28FCEEE1">
      <w:pPr>
        <w:rPr>
          <w:rFonts w:hint="eastAsia" w:asciiTheme="majorEastAsia" w:hAnsiTheme="majorEastAsia" w:eastAsiaTheme="majorEastAsia" w:cstheme="majorEastAsia"/>
          <w:sz w:val="28"/>
          <w:szCs w:val="28"/>
          <w:highlight w:val="none"/>
        </w:rPr>
      </w:pPr>
      <w:r>
        <w:rPr>
          <w:rFonts w:hint="eastAsia" w:asciiTheme="majorEastAsia" w:hAnsiTheme="majorEastAsia" w:eastAsiaTheme="majorEastAsia" w:cstheme="majorEastAsia"/>
          <w:sz w:val="28"/>
          <w:szCs w:val="28"/>
          <w:highlight w:val="none"/>
        </w:rPr>
        <w:br w:type="page"/>
      </w:r>
    </w:p>
    <w:p w14:paraId="0A64F659">
      <w:pPr>
        <w:spacing w:line="360" w:lineRule="auto"/>
        <w:rPr>
          <w:rFonts w:hint="eastAsia" w:asciiTheme="majorEastAsia" w:hAnsiTheme="majorEastAsia" w:eastAsiaTheme="majorEastAsia" w:cstheme="majorEastAsia"/>
          <w:sz w:val="28"/>
          <w:szCs w:val="28"/>
          <w:highlight w:val="none"/>
        </w:rPr>
      </w:pPr>
      <w:r>
        <w:rPr>
          <w:rFonts w:hint="eastAsia" w:asciiTheme="majorEastAsia" w:hAnsiTheme="majorEastAsia" w:eastAsiaTheme="majorEastAsia" w:cstheme="majorEastAsia"/>
          <w:sz w:val="28"/>
          <w:szCs w:val="28"/>
          <w:highlight w:val="none"/>
        </w:rPr>
        <w:t>甲方名称：　　　　　　　　  乙方名称：</w:t>
      </w:r>
    </w:p>
    <w:p w14:paraId="5E4B682E">
      <w:pPr>
        <w:spacing w:line="360" w:lineRule="auto"/>
        <w:rPr>
          <w:rFonts w:hint="eastAsia" w:asciiTheme="majorEastAsia" w:hAnsiTheme="majorEastAsia" w:eastAsiaTheme="majorEastAsia" w:cstheme="majorEastAsia"/>
          <w:w w:val="80"/>
          <w:sz w:val="28"/>
          <w:szCs w:val="28"/>
          <w:highlight w:val="none"/>
        </w:rPr>
      </w:pPr>
      <w:r>
        <w:rPr>
          <w:rFonts w:hint="eastAsia" w:asciiTheme="majorEastAsia" w:hAnsiTheme="majorEastAsia" w:eastAsiaTheme="majorEastAsia" w:cstheme="majorEastAsia"/>
          <w:sz w:val="28"/>
          <w:szCs w:val="28"/>
          <w:highlight w:val="none"/>
        </w:rPr>
        <w:t xml:space="preserve">昭苏夏塔水电开发有限公司    </w:t>
      </w:r>
      <w:r>
        <w:rPr>
          <w:rFonts w:hint="eastAsia" w:asciiTheme="majorEastAsia" w:hAnsiTheme="majorEastAsia" w:eastAsiaTheme="majorEastAsia" w:cstheme="majorEastAsia"/>
          <w:w w:val="80"/>
          <w:sz w:val="28"/>
          <w:szCs w:val="28"/>
          <w:highlight w:val="none"/>
        </w:rPr>
        <w:t>新疆花城勘测设计研究有限责任公司</w:t>
      </w:r>
    </w:p>
    <w:p w14:paraId="0DE8A13A">
      <w:pPr>
        <w:spacing w:line="360" w:lineRule="auto"/>
        <w:rPr>
          <w:rFonts w:hint="eastAsia" w:asciiTheme="majorEastAsia" w:hAnsiTheme="majorEastAsia" w:eastAsiaTheme="majorEastAsia" w:cstheme="majorEastAsia"/>
          <w:sz w:val="28"/>
          <w:szCs w:val="28"/>
          <w:highlight w:val="none"/>
        </w:rPr>
      </w:pPr>
      <w:r>
        <w:rPr>
          <w:rFonts w:hint="eastAsia" w:asciiTheme="majorEastAsia" w:hAnsiTheme="majorEastAsia" w:eastAsiaTheme="majorEastAsia" w:cstheme="majorEastAsia"/>
          <w:sz w:val="28"/>
          <w:szCs w:val="28"/>
          <w:highlight w:val="none"/>
        </w:rPr>
        <w:t>　　　　　（盖章）　　　　　　　（盖章）</w:t>
      </w:r>
    </w:p>
    <w:p w14:paraId="307DF2DB">
      <w:pPr>
        <w:spacing w:line="360" w:lineRule="auto"/>
        <w:rPr>
          <w:rFonts w:hint="eastAsia" w:asciiTheme="majorEastAsia" w:hAnsiTheme="majorEastAsia" w:eastAsiaTheme="majorEastAsia" w:cstheme="majorEastAsia"/>
          <w:sz w:val="28"/>
          <w:szCs w:val="28"/>
          <w:highlight w:val="none"/>
        </w:rPr>
      </w:pPr>
    </w:p>
    <w:p w14:paraId="6ADA8BA8">
      <w:pPr>
        <w:spacing w:line="360" w:lineRule="auto"/>
        <w:rPr>
          <w:rFonts w:hint="eastAsia" w:asciiTheme="majorEastAsia" w:hAnsiTheme="majorEastAsia" w:eastAsiaTheme="majorEastAsia" w:cstheme="majorEastAsia"/>
          <w:sz w:val="28"/>
          <w:szCs w:val="28"/>
          <w:highlight w:val="none"/>
        </w:rPr>
      </w:pPr>
      <w:r>
        <w:rPr>
          <w:rFonts w:hint="eastAsia" w:asciiTheme="majorEastAsia" w:hAnsiTheme="majorEastAsia" w:eastAsiaTheme="majorEastAsia" w:cstheme="majorEastAsia"/>
          <w:sz w:val="28"/>
          <w:szCs w:val="28"/>
          <w:highlight w:val="none"/>
        </w:rPr>
        <w:t>法定代表人：（签章）　　　　法定代表人：（签章）</w:t>
      </w:r>
    </w:p>
    <w:p w14:paraId="5D2C8C8A">
      <w:pPr>
        <w:spacing w:line="360" w:lineRule="auto"/>
        <w:rPr>
          <w:rFonts w:hint="eastAsia" w:asciiTheme="majorEastAsia" w:hAnsiTheme="majorEastAsia" w:eastAsiaTheme="majorEastAsia" w:cstheme="majorEastAsia"/>
          <w:sz w:val="28"/>
          <w:szCs w:val="28"/>
          <w:highlight w:val="none"/>
        </w:rPr>
      </w:pPr>
      <w:r>
        <w:rPr>
          <w:rFonts w:hint="eastAsia" w:asciiTheme="majorEastAsia" w:hAnsiTheme="majorEastAsia" w:eastAsiaTheme="majorEastAsia" w:cstheme="majorEastAsia"/>
          <w:sz w:val="28"/>
          <w:szCs w:val="28"/>
          <w:highlight w:val="none"/>
        </w:rPr>
        <w:t>　　　　　　　　　　　　　　　　　　　　　</w:t>
      </w:r>
    </w:p>
    <w:p w14:paraId="1118622D">
      <w:pPr>
        <w:spacing w:line="360" w:lineRule="auto"/>
        <w:rPr>
          <w:rFonts w:hint="eastAsia" w:asciiTheme="majorEastAsia" w:hAnsiTheme="majorEastAsia" w:eastAsiaTheme="majorEastAsia" w:cstheme="majorEastAsia"/>
          <w:sz w:val="28"/>
          <w:szCs w:val="28"/>
          <w:highlight w:val="none"/>
        </w:rPr>
      </w:pPr>
      <w:r>
        <w:rPr>
          <w:rFonts w:hint="eastAsia" w:asciiTheme="majorEastAsia" w:hAnsiTheme="majorEastAsia" w:eastAsiaTheme="majorEastAsia" w:cstheme="majorEastAsia"/>
          <w:sz w:val="28"/>
          <w:szCs w:val="28"/>
          <w:highlight w:val="none"/>
        </w:rPr>
        <w:t>委托代理人：（签章）　　　　委托代理人：（签章）</w:t>
      </w:r>
    </w:p>
    <w:p w14:paraId="6F7B1C3B">
      <w:pPr>
        <w:spacing w:line="360" w:lineRule="auto"/>
        <w:rPr>
          <w:rFonts w:hint="eastAsia" w:asciiTheme="majorEastAsia" w:hAnsiTheme="majorEastAsia" w:eastAsiaTheme="majorEastAsia" w:cstheme="majorEastAsia"/>
          <w:sz w:val="28"/>
          <w:szCs w:val="28"/>
          <w:highlight w:val="none"/>
        </w:rPr>
      </w:pPr>
    </w:p>
    <w:p w14:paraId="60F6F300">
      <w:pPr>
        <w:spacing w:line="360" w:lineRule="auto"/>
        <w:rPr>
          <w:rFonts w:hint="eastAsia" w:asciiTheme="majorEastAsia" w:hAnsiTheme="majorEastAsia" w:eastAsiaTheme="majorEastAsia" w:cstheme="majorEastAsia"/>
          <w:sz w:val="28"/>
          <w:szCs w:val="28"/>
          <w:highlight w:val="none"/>
        </w:rPr>
      </w:pPr>
      <w:r>
        <w:rPr>
          <w:rFonts w:hint="eastAsia" w:asciiTheme="majorEastAsia" w:hAnsiTheme="majorEastAsia" w:eastAsiaTheme="majorEastAsia" w:cstheme="majorEastAsia"/>
          <w:sz w:val="28"/>
          <w:szCs w:val="28"/>
          <w:highlight w:val="none"/>
        </w:rPr>
        <w:t>　　　　　　　　　　　　　　　　　　　　　　</w:t>
      </w:r>
    </w:p>
    <w:p w14:paraId="7CD532AB">
      <w:pPr>
        <w:spacing w:line="360" w:lineRule="auto"/>
        <w:ind w:left="5040" w:hanging="5040" w:hangingChars="1800"/>
        <w:rPr>
          <w:rFonts w:hint="eastAsia" w:asciiTheme="majorEastAsia" w:hAnsiTheme="majorEastAsia" w:eastAsiaTheme="majorEastAsia" w:cstheme="majorEastAsia"/>
          <w:sz w:val="28"/>
          <w:szCs w:val="28"/>
          <w:highlight w:val="none"/>
        </w:rPr>
      </w:pPr>
      <w:r>
        <w:rPr>
          <w:rFonts w:hint="eastAsia" w:asciiTheme="majorEastAsia" w:hAnsiTheme="majorEastAsia" w:eastAsiaTheme="majorEastAsia" w:cstheme="majorEastAsia"/>
          <w:sz w:val="28"/>
          <w:szCs w:val="28"/>
          <w:highlight w:val="none"/>
        </w:rPr>
        <w:t>住　　所：　　　　　　　　 住　　所：新疆可克达拉市园区镇江西路1360号E区</w:t>
      </w:r>
    </w:p>
    <w:p w14:paraId="1A05CB00">
      <w:pPr>
        <w:spacing w:line="360" w:lineRule="auto"/>
        <w:rPr>
          <w:rFonts w:hint="eastAsia" w:asciiTheme="majorEastAsia" w:hAnsiTheme="majorEastAsia" w:eastAsiaTheme="majorEastAsia" w:cstheme="majorEastAsia"/>
          <w:sz w:val="28"/>
          <w:szCs w:val="28"/>
          <w:highlight w:val="none"/>
        </w:rPr>
      </w:pPr>
      <w:r>
        <w:rPr>
          <w:rFonts w:hint="eastAsia" w:asciiTheme="majorEastAsia" w:hAnsiTheme="majorEastAsia" w:eastAsiaTheme="majorEastAsia" w:cstheme="majorEastAsia"/>
          <w:sz w:val="28"/>
          <w:szCs w:val="28"/>
          <w:highlight w:val="none"/>
        </w:rPr>
        <w:t>邮政编码：　　　　　　　　 邮政编码：835219</w:t>
      </w:r>
    </w:p>
    <w:p w14:paraId="6B4982A8">
      <w:pPr>
        <w:spacing w:line="360" w:lineRule="auto"/>
        <w:rPr>
          <w:rFonts w:hint="eastAsia" w:asciiTheme="majorEastAsia" w:hAnsiTheme="majorEastAsia" w:eastAsiaTheme="majorEastAsia" w:cstheme="majorEastAsia"/>
          <w:sz w:val="28"/>
          <w:szCs w:val="28"/>
          <w:highlight w:val="none"/>
        </w:rPr>
      </w:pPr>
      <w:r>
        <w:rPr>
          <w:rFonts w:hint="eastAsia" w:asciiTheme="majorEastAsia" w:hAnsiTheme="majorEastAsia" w:eastAsiaTheme="majorEastAsia" w:cstheme="majorEastAsia"/>
          <w:sz w:val="28"/>
          <w:szCs w:val="28"/>
          <w:highlight w:val="none"/>
        </w:rPr>
        <w:t>电　　话：　　　　　　　　 电　　话：0999-8182971</w:t>
      </w:r>
    </w:p>
    <w:p w14:paraId="7E26680E">
      <w:pPr>
        <w:spacing w:line="360" w:lineRule="auto"/>
        <w:rPr>
          <w:rFonts w:hint="eastAsia" w:asciiTheme="majorEastAsia" w:hAnsiTheme="majorEastAsia" w:eastAsiaTheme="majorEastAsia" w:cstheme="majorEastAsia"/>
          <w:sz w:val="28"/>
          <w:szCs w:val="28"/>
          <w:highlight w:val="none"/>
        </w:rPr>
      </w:pPr>
      <w:r>
        <w:rPr>
          <w:rFonts w:hint="eastAsia" w:asciiTheme="majorEastAsia" w:hAnsiTheme="majorEastAsia" w:eastAsiaTheme="majorEastAsia" w:cstheme="majorEastAsia"/>
          <w:sz w:val="28"/>
          <w:szCs w:val="28"/>
          <w:highlight w:val="none"/>
        </w:rPr>
        <w:t>传　　真：　　　　　　　　 传　　真：0999-8121142</w:t>
      </w:r>
    </w:p>
    <w:p w14:paraId="2272D933">
      <w:pPr>
        <w:spacing w:line="360" w:lineRule="auto"/>
        <w:rPr>
          <w:rFonts w:hint="eastAsia" w:asciiTheme="majorEastAsia" w:hAnsiTheme="majorEastAsia" w:eastAsiaTheme="majorEastAsia" w:cstheme="majorEastAsia"/>
          <w:sz w:val="28"/>
          <w:szCs w:val="28"/>
          <w:highlight w:val="none"/>
        </w:rPr>
      </w:pPr>
      <w:r>
        <w:rPr>
          <w:rFonts w:hint="eastAsia" w:asciiTheme="majorEastAsia" w:hAnsiTheme="majorEastAsia" w:eastAsiaTheme="majorEastAsia" w:cstheme="majorEastAsia"/>
          <w:sz w:val="28"/>
          <w:szCs w:val="28"/>
          <w:highlight w:val="none"/>
        </w:rPr>
        <w:t>开户银行：　　　　　　　　 开户银行：农行可克达拉市兵团支行</w:t>
      </w:r>
    </w:p>
    <w:p w14:paraId="2B033399">
      <w:pPr>
        <w:spacing w:line="360" w:lineRule="auto"/>
        <w:rPr>
          <w:rFonts w:hint="eastAsia" w:asciiTheme="majorEastAsia" w:hAnsiTheme="majorEastAsia" w:eastAsiaTheme="majorEastAsia" w:cstheme="majorEastAsia"/>
          <w:sz w:val="28"/>
          <w:szCs w:val="28"/>
          <w:highlight w:val="none"/>
        </w:rPr>
      </w:pPr>
      <w:r>
        <w:rPr>
          <w:rFonts w:hint="eastAsia" w:asciiTheme="majorEastAsia" w:hAnsiTheme="majorEastAsia" w:eastAsiaTheme="majorEastAsia" w:cstheme="majorEastAsia"/>
          <w:sz w:val="28"/>
          <w:szCs w:val="28"/>
          <w:highlight w:val="none"/>
        </w:rPr>
        <w:t>银行帐号：　　　　　　　　 银行帐号：30735301040002580</w:t>
      </w:r>
    </w:p>
    <w:p w14:paraId="34DF45A8">
      <w:pPr>
        <w:spacing w:line="360" w:lineRule="auto"/>
        <w:rPr>
          <w:rFonts w:hint="eastAsia" w:asciiTheme="majorEastAsia" w:hAnsiTheme="majorEastAsia" w:eastAsiaTheme="majorEastAsia" w:cstheme="majorEastAsia"/>
          <w:sz w:val="28"/>
          <w:szCs w:val="28"/>
          <w:highlight w:val="none"/>
        </w:rPr>
      </w:pPr>
      <w:r>
        <w:rPr>
          <w:rFonts w:hint="eastAsia" w:asciiTheme="majorEastAsia" w:hAnsiTheme="majorEastAsia" w:eastAsiaTheme="majorEastAsia" w:cstheme="majorEastAsia"/>
          <w:sz w:val="28"/>
          <w:szCs w:val="28"/>
          <w:highlight w:val="none"/>
        </w:rPr>
        <w:t>建设行政主管部门备案：　   鉴证意见：</w:t>
      </w:r>
    </w:p>
    <w:p w14:paraId="74800609">
      <w:pPr>
        <w:spacing w:line="360" w:lineRule="auto"/>
        <w:rPr>
          <w:rFonts w:hint="eastAsia" w:asciiTheme="majorEastAsia" w:hAnsiTheme="majorEastAsia" w:eastAsiaTheme="majorEastAsia" w:cstheme="majorEastAsia"/>
          <w:sz w:val="28"/>
          <w:szCs w:val="28"/>
          <w:highlight w:val="none"/>
        </w:rPr>
      </w:pPr>
      <w:r>
        <w:rPr>
          <w:rFonts w:hint="eastAsia" w:asciiTheme="majorEastAsia" w:hAnsiTheme="majorEastAsia" w:eastAsiaTheme="majorEastAsia" w:cstheme="majorEastAsia"/>
          <w:sz w:val="28"/>
          <w:szCs w:val="28"/>
          <w:highlight w:val="none"/>
        </w:rPr>
        <w:t>　</w:t>
      </w:r>
    </w:p>
    <w:p w14:paraId="6E747676">
      <w:pPr>
        <w:spacing w:line="360" w:lineRule="auto"/>
        <w:rPr>
          <w:rFonts w:hint="eastAsia" w:asciiTheme="majorEastAsia" w:hAnsiTheme="majorEastAsia" w:eastAsiaTheme="majorEastAsia" w:cstheme="majorEastAsia"/>
          <w:sz w:val="28"/>
          <w:szCs w:val="28"/>
          <w:highlight w:val="none"/>
        </w:rPr>
      </w:pPr>
      <w:r>
        <w:rPr>
          <w:rFonts w:hint="eastAsia" w:asciiTheme="majorEastAsia" w:hAnsiTheme="majorEastAsia" w:eastAsiaTheme="majorEastAsia" w:cstheme="majorEastAsia"/>
          <w:sz w:val="28"/>
          <w:szCs w:val="28"/>
          <w:highlight w:val="none"/>
        </w:rPr>
        <w:t>　　　　（盖章）　　　　　　　　　　（盖章）</w:t>
      </w:r>
    </w:p>
    <w:p w14:paraId="04F17BFD">
      <w:pPr>
        <w:spacing w:line="360" w:lineRule="auto"/>
        <w:rPr>
          <w:rFonts w:hint="eastAsia" w:asciiTheme="majorEastAsia" w:hAnsiTheme="majorEastAsia" w:eastAsiaTheme="majorEastAsia" w:cstheme="majorEastAsia"/>
          <w:sz w:val="28"/>
          <w:szCs w:val="28"/>
          <w:highlight w:val="none"/>
        </w:rPr>
      </w:pPr>
      <w:r>
        <w:rPr>
          <w:rFonts w:hint="eastAsia" w:asciiTheme="majorEastAsia" w:hAnsiTheme="majorEastAsia" w:eastAsiaTheme="majorEastAsia" w:cstheme="majorEastAsia"/>
          <w:sz w:val="28"/>
          <w:szCs w:val="28"/>
          <w:highlight w:val="none"/>
        </w:rPr>
        <w:t>备案号：　　　　　　　　　　经办人：</w:t>
      </w:r>
    </w:p>
    <w:p w14:paraId="3F2E5AC6">
      <w:pPr>
        <w:spacing w:line="360" w:lineRule="auto"/>
        <w:rPr>
          <w:rFonts w:hint="eastAsia" w:asciiTheme="majorEastAsia" w:hAnsiTheme="majorEastAsia" w:eastAsiaTheme="majorEastAsia" w:cstheme="majorEastAsia"/>
          <w:sz w:val="28"/>
          <w:szCs w:val="28"/>
          <w:highlight w:val="none"/>
        </w:rPr>
      </w:pPr>
      <w:r>
        <w:rPr>
          <w:rFonts w:hint="eastAsia" w:asciiTheme="majorEastAsia" w:hAnsiTheme="majorEastAsia" w:eastAsiaTheme="majorEastAsia" w:cstheme="majorEastAsia"/>
          <w:sz w:val="28"/>
          <w:szCs w:val="28"/>
          <w:highlight w:val="none"/>
        </w:rPr>
        <w:t>备案日期：　　年　月　日　　鉴证日期：　　年　月　日</w:t>
      </w:r>
    </w:p>
    <w:p w14:paraId="705D2ACE">
      <w:pPr>
        <w:spacing w:line="360" w:lineRule="auto"/>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br w:type="page"/>
      </w:r>
    </w:p>
    <w:p w14:paraId="4140089D">
      <w:pPr>
        <w:pStyle w:val="3"/>
        <w:ind w:firstLine="0"/>
        <w:rPr>
          <w:highlight w:val="none"/>
        </w:rPr>
      </w:pPr>
      <w:r>
        <w:rPr>
          <w:rFonts w:hint="eastAsia"/>
          <w:highlight w:val="none"/>
        </w:rPr>
        <w:t>附件：河道疏浚前置条件及河道疏浚砂审批流程</w:t>
      </w:r>
    </w:p>
    <w:p w14:paraId="5097388A">
      <w:pPr>
        <w:rPr>
          <w:highlight w:val="none"/>
        </w:rPr>
      </w:pPr>
    </w:p>
    <w:p w14:paraId="5460E73D">
      <w:pPr>
        <w:widowControl/>
        <w:jc w:val="left"/>
        <w:rPr>
          <w:rFonts w:ascii="Arial Unicode MS" w:hAnsi="Arial Unicode MS" w:eastAsia="Arial Unicode MS" w:cs="Arial Unicode MS"/>
          <w:color w:val="000000"/>
          <w:kern w:val="0"/>
          <w:sz w:val="43"/>
          <w:szCs w:val="43"/>
          <w:highlight w:val="none"/>
          <w:lang w:bidi="ar"/>
        </w:rPr>
      </w:pPr>
      <w:r>
        <w:rPr>
          <w:rFonts w:ascii="Arial Unicode MS" w:hAnsi="Arial Unicode MS" w:eastAsia="Arial Unicode MS" w:cs="Arial Unicode MS"/>
          <w:color w:val="000000"/>
          <w:kern w:val="0"/>
          <w:sz w:val="43"/>
          <w:szCs w:val="43"/>
          <w:highlight w:val="none"/>
          <w:lang w:bidi="ar"/>
        </w:rPr>
        <w:t>河道疏浚前置条件及河道疏浚砂审批流程</w:t>
      </w:r>
    </w:p>
    <w:p w14:paraId="2493F896">
      <w:pPr>
        <w:pStyle w:val="3"/>
        <w:rPr>
          <w:highlight w:val="none"/>
        </w:rPr>
      </w:pPr>
    </w:p>
    <w:p w14:paraId="5BB45BC5">
      <w:pPr>
        <w:widowControl/>
        <w:jc w:val="left"/>
        <w:rPr>
          <w:highlight w:val="none"/>
        </w:rPr>
      </w:pPr>
      <w:r>
        <w:rPr>
          <w:rFonts w:ascii="Arial Unicode MS" w:hAnsi="Arial Unicode MS" w:eastAsia="Arial Unicode MS" w:cs="Arial Unicode MS"/>
          <w:color w:val="000000"/>
          <w:kern w:val="0"/>
          <w:sz w:val="40"/>
          <w:szCs w:val="40"/>
          <w:highlight w:val="none"/>
          <w:lang w:bidi="ar"/>
        </w:rPr>
        <w:t>一、审批依据</w:t>
      </w:r>
    </w:p>
    <w:p w14:paraId="31318722">
      <w:pPr>
        <w:widowControl/>
        <w:jc w:val="left"/>
        <w:rPr>
          <w:highlight w:val="none"/>
        </w:rPr>
      </w:pPr>
      <w:r>
        <w:rPr>
          <w:rFonts w:ascii="Arial Unicode MS" w:hAnsi="Arial Unicode MS" w:eastAsia="Arial Unicode MS" w:cs="Arial Unicode MS"/>
          <w:color w:val="000000"/>
          <w:kern w:val="0"/>
          <w:sz w:val="31"/>
          <w:szCs w:val="31"/>
          <w:highlight w:val="none"/>
          <w:lang w:bidi="ar"/>
        </w:rPr>
        <w:t>根据水利部印发的《水利部河道采砂管理工作的指导意见》；</w:t>
      </w:r>
    </w:p>
    <w:p w14:paraId="5419F2C6">
      <w:pPr>
        <w:widowControl/>
        <w:jc w:val="left"/>
        <w:rPr>
          <w:highlight w:val="none"/>
        </w:rPr>
      </w:pPr>
      <w:r>
        <w:rPr>
          <w:rFonts w:ascii="Arial Unicode MS" w:hAnsi="Arial Unicode MS" w:eastAsia="Arial Unicode MS" w:cs="Arial Unicode MS"/>
          <w:color w:val="000000"/>
          <w:kern w:val="0"/>
          <w:sz w:val="31"/>
          <w:szCs w:val="31"/>
          <w:highlight w:val="none"/>
          <w:lang w:bidi="ar"/>
        </w:rPr>
        <w:t>（水河湖〔</w:t>
      </w:r>
      <w:r>
        <w:rPr>
          <w:color w:val="000000"/>
          <w:kern w:val="0"/>
          <w:sz w:val="31"/>
          <w:szCs w:val="31"/>
          <w:highlight w:val="none"/>
          <w:lang w:bidi="ar"/>
        </w:rPr>
        <w:t>2019</w:t>
      </w:r>
      <w:r>
        <w:rPr>
          <w:rFonts w:ascii="Arial Unicode MS" w:hAnsi="Arial Unicode MS" w:eastAsia="Arial Unicode MS" w:cs="Arial Unicode MS"/>
          <w:color w:val="000000"/>
          <w:kern w:val="0"/>
          <w:sz w:val="31"/>
          <w:szCs w:val="31"/>
          <w:highlight w:val="none"/>
          <w:lang w:bidi="ar"/>
        </w:rPr>
        <w:t>〕</w:t>
      </w:r>
      <w:r>
        <w:rPr>
          <w:color w:val="000000"/>
          <w:kern w:val="0"/>
          <w:sz w:val="31"/>
          <w:szCs w:val="31"/>
          <w:highlight w:val="none"/>
          <w:lang w:bidi="ar"/>
        </w:rPr>
        <w:t>58</w:t>
      </w:r>
      <w:r>
        <w:rPr>
          <w:rFonts w:ascii="Arial Unicode MS" w:hAnsi="Arial Unicode MS" w:eastAsia="Arial Unicode MS" w:cs="Arial Unicode MS"/>
          <w:color w:val="000000"/>
          <w:kern w:val="0"/>
          <w:sz w:val="31"/>
          <w:szCs w:val="31"/>
          <w:highlight w:val="none"/>
          <w:lang w:bidi="ar"/>
        </w:rPr>
        <w:t>号）、关于征求《水利部关于加强河道疏浚</w:t>
      </w:r>
    </w:p>
    <w:p w14:paraId="02838474">
      <w:pPr>
        <w:widowControl/>
        <w:jc w:val="left"/>
        <w:rPr>
          <w:highlight w:val="none"/>
        </w:rPr>
      </w:pPr>
      <w:r>
        <w:rPr>
          <w:rFonts w:ascii="Arial Unicode MS" w:hAnsi="Arial Unicode MS" w:eastAsia="Arial Unicode MS" w:cs="Arial Unicode MS"/>
          <w:color w:val="000000"/>
          <w:kern w:val="0"/>
          <w:sz w:val="31"/>
          <w:szCs w:val="31"/>
          <w:highlight w:val="none"/>
          <w:lang w:bidi="ar"/>
        </w:rPr>
        <w:t>砂综合利用管理的意见》（征求意见稿）意见的函（</w:t>
      </w:r>
      <w:r>
        <w:rPr>
          <w:color w:val="000000"/>
          <w:kern w:val="0"/>
          <w:sz w:val="31"/>
          <w:szCs w:val="31"/>
          <w:highlight w:val="none"/>
          <w:lang w:bidi="ar"/>
        </w:rPr>
        <w:t>2024</w:t>
      </w:r>
      <w:r>
        <w:rPr>
          <w:rFonts w:ascii="Arial Unicode MS" w:hAnsi="Arial Unicode MS" w:eastAsia="Arial Unicode MS" w:cs="Arial Unicode MS"/>
          <w:color w:val="000000"/>
          <w:kern w:val="0"/>
          <w:sz w:val="31"/>
          <w:szCs w:val="31"/>
          <w:highlight w:val="none"/>
          <w:lang w:bidi="ar"/>
        </w:rPr>
        <w:t>年</w:t>
      </w:r>
      <w:r>
        <w:rPr>
          <w:color w:val="000000"/>
          <w:kern w:val="0"/>
          <w:sz w:val="31"/>
          <w:szCs w:val="31"/>
          <w:highlight w:val="none"/>
          <w:lang w:bidi="ar"/>
        </w:rPr>
        <w:t>8</w:t>
      </w:r>
      <w:r>
        <w:rPr>
          <w:rFonts w:ascii="Arial Unicode MS" w:hAnsi="Arial Unicode MS" w:eastAsia="Arial Unicode MS" w:cs="Arial Unicode MS"/>
          <w:color w:val="000000"/>
          <w:kern w:val="0"/>
          <w:sz w:val="31"/>
          <w:szCs w:val="31"/>
          <w:highlight w:val="none"/>
          <w:lang w:bidi="ar"/>
        </w:rPr>
        <w:t>月</w:t>
      </w:r>
    </w:p>
    <w:p w14:paraId="0A7D068C">
      <w:pPr>
        <w:widowControl/>
        <w:jc w:val="left"/>
        <w:rPr>
          <w:highlight w:val="none"/>
        </w:rPr>
      </w:pPr>
      <w:r>
        <w:rPr>
          <w:color w:val="000000"/>
          <w:kern w:val="0"/>
          <w:sz w:val="31"/>
          <w:szCs w:val="31"/>
          <w:highlight w:val="none"/>
          <w:lang w:bidi="ar"/>
        </w:rPr>
        <w:t>1</w:t>
      </w:r>
      <w:r>
        <w:rPr>
          <w:rFonts w:ascii="Arial Unicode MS" w:hAnsi="Arial Unicode MS" w:eastAsia="Arial Unicode MS" w:cs="Arial Unicode MS"/>
          <w:color w:val="000000"/>
          <w:kern w:val="0"/>
          <w:sz w:val="31"/>
          <w:szCs w:val="31"/>
          <w:highlight w:val="none"/>
          <w:lang w:bidi="ar"/>
        </w:rPr>
        <w:t>日）及伊犁州水利局印发《关于对伊犁州直河道采砂管理工作</w:t>
      </w:r>
    </w:p>
    <w:p w14:paraId="7970E95F">
      <w:pPr>
        <w:widowControl/>
        <w:jc w:val="left"/>
        <w:rPr>
          <w:highlight w:val="none"/>
        </w:rPr>
      </w:pPr>
      <w:r>
        <w:rPr>
          <w:rFonts w:ascii="Arial Unicode MS" w:hAnsi="Arial Unicode MS" w:eastAsia="Arial Unicode MS" w:cs="Arial Unicode MS"/>
          <w:color w:val="000000"/>
          <w:kern w:val="0"/>
          <w:sz w:val="31"/>
          <w:szCs w:val="31"/>
          <w:highlight w:val="none"/>
          <w:lang w:bidi="ar"/>
        </w:rPr>
        <w:t>的提示函》（</w:t>
      </w:r>
      <w:r>
        <w:rPr>
          <w:color w:val="000000"/>
          <w:kern w:val="0"/>
          <w:sz w:val="31"/>
          <w:szCs w:val="31"/>
          <w:highlight w:val="none"/>
          <w:lang w:bidi="ar"/>
        </w:rPr>
        <w:t>2020</w:t>
      </w:r>
      <w:r>
        <w:rPr>
          <w:rFonts w:ascii="Arial Unicode MS" w:hAnsi="Arial Unicode MS" w:eastAsia="Arial Unicode MS" w:cs="Arial Unicode MS"/>
          <w:color w:val="000000"/>
          <w:kern w:val="0"/>
          <w:sz w:val="31"/>
          <w:szCs w:val="31"/>
          <w:highlight w:val="none"/>
          <w:lang w:bidi="ar"/>
        </w:rPr>
        <w:t>年</w:t>
      </w:r>
      <w:r>
        <w:rPr>
          <w:color w:val="000000"/>
          <w:kern w:val="0"/>
          <w:sz w:val="31"/>
          <w:szCs w:val="31"/>
          <w:highlight w:val="none"/>
          <w:lang w:bidi="ar"/>
        </w:rPr>
        <w:t>7</w:t>
      </w:r>
      <w:r>
        <w:rPr>
          <w:rFonts w:ascii="Arial Unicode MS" w:hAnsi="Arial Unicode MS" w:eastAsia="Arial Unicode MS" w:cs="Arial Unicode MS"/>
          <w:color w:val="000000"/>
          <w:kern w:val="0"/>
          <w:sz w:val="31"/>
          <w:szCs w:val="31"/>
          <w:highlight w:val="none"/>
          <w:lang w:bidi="ar"/>
        </w:rPr>
        <w:t>月</w:t>
      </w:r>
      <w:r>
        <w:rPr>
          <w:color w:val="000000"/>
          <w:kern w:val="0"/>
          <w:sz w:val="31"/>
          <w:szCs w:val="31"/>
          <w:highlight w:val="none"/>
          <w:lang w:bidi="ar"/>
        </w:rPr>
        <w:t>24</w:t>
      </w:r>
      <w:r>
        <w:rPr>
          <w:rFonts w:ascii="Arial Unicode MS" w:hAnsi="Arial Unicode MS" w:eastAsia="Arial Unicode MS" w:cs="Arial Unicode MS"/>
          <w:color w:val="000000"/>
          <w:kern w:val="0"/>
          <w:sz w:val="31"/>
          <w:szCs w:val="31"/>
          <w:highlight w:val="none"/>
          <w:lang w:bidi="ar"/>
        </w:rPr>
        <w:t>日）。</w:t>
      </w:r>
    </w:p>
    <w:p w14:paraId="7BB5E167">
      <w:pPr>
        <w:widowControl/>
        <w:jc w:val="left"/>
        <w:rPr>
          <w:highlight w:val="none"/>
        </w:rPr>
      </w:pPr>
      <w:r>
        <w:rPr>
          <w:rFonts w:ascii="Arial Unicode MS" w:hAnsi="Arial Unicode MS" w:eastAsia="Arial Unicode MS" w:cs="Arial Unicode MS"/>
          <w:color w:val="000000"/>
          <w:kern w:val="0"/>
          <w:sz w:val="40"/>
          <w:szCs w:val="40"/>
          <w:highlight w:val="none"/>
          <w:lang w:bidi="ar"/>
        </w:rPr>
        <w:t>二、开展河道疏浚的前置条件</w:t>
      </w:r>
    </w:p>
    <w:p w14:paraId="0B951FBC">
      <w:pPr>
        <w:widowControl/>
        <w:jc w:val="left"/>
        <w:rPr>
          <w:highlight w:val="none"/>
        </w:rPr>
      </w:pPr>
      <w:r>
        <w:rPr>
          <w:color w:val="000000"/>
          <w:kern w:val="0"/>
          <w:sz w:val="31"/>
          <w:szCs w:val="31"/>
          <w:highlight w:val="none"/>
          <w:lang w:bidi="ar"/>
        </w:rPr>
        <w:t>1.</w:t>
      </w:r>
      <w:r>
        <w:rPr>
          <w:rFonts w:ascii="Arial Unicode MS" w:hAnsi="Arial Unicode MS" w:eastAsia="Arial Unicode MS" w:cs="Arial Unicode MS"/>
          <w:color w:val="000000"/>
          <w:kern w:val="0"/>
          <w:sz w:val="31"/>
          <w:szCs w:val="31"/>
          <w:highlight w:val="none"/>
          <w:lang w:bidi="ar"/>
        </w:rPr>
        <w:t>是否影响河道行洪，造成耕地、林地、草地及群众生命财</w:t>
      </w:r>
    </w:p>
    <w:p w14:paraId="72EF37C0">
      <w:pPr>
        <w:widowControl/>
        <w:jc w:val="left"/>
        <w:rPr>
          <w:highlight w:val="none"/>
        </w:rPr>
      </w:pPr>
      <w:r>
        <w:rPr>
          <w:rFonts w:ascii="Arial Unicode MS" w:hAnsi="Arial Unicode MS" w:eastAsia="Arial Unicode MS" w:cs="Arial Unicode MS"/>
          <w:color w:val="000000"/>
          <w:kern w:val="0"/>
          <w:sz w:val="31"/>
          <w:szCs w:val="31"/>
          <w:highlight w:val="none"/>
          <w:lang w:bidi="ar"/>
        </w:rPr>
        <w:t>产损失；</w:t>
      </w:r>
    </w:p>
    <w:p w14:paraId="5E3AB364">
      <w:pPr>
        <w:widowControl/>
        <w:jc w:val="left"/>
        <w:rPr>
          <w:highlight w:val="none"/>
        </w:rPr>
      </w:pPr>
      <w:r>
        <w:rPr>
          <w:color w:val="000000"/>
          <w:kern w:val="0"/>
          <w:sz w:val="31"/>
          <w:szCs w:val="31"/>
          <w:highlight w:val="none"/>
          <w:lang w:bidi="ar"/>
        </w:rPr>
        <w:t>2.</w:t>
      </w:r>
      <w:r>
        <w:rPr>
          <w:rFonts w:ascii="Arial Unicode MS" w:hAnsi="Arial Unicode MS" w:eastAsia="Arial Unicode MS" w:cs="Arial Unicode MS"/>
          <w:color w:val="000000"/>
          <w:kern w:val="0"/>
          <w:sz w:val="31"/>
          <w:szCs w:val="31"/>
          <w:highlight w:val="none"/>
          <w:lang w:bidi="ar"/>
        </w:rPr>
        <w:t>是否影响已建涉河工程（跨河建筑物、引水工程、防洪堤</w:t>
      </w:r>
    </w:p>
    <w:p w14:paraId="0D00D9E0">
      <w:pPr>
        <w:widowControl/>
        <w:jc w:val="left"/>
        <w:rPr>
          <w:highlight w:val="none"/>
        </w:rPr>
      </w:pPr>
      <w:r>
        <w:rPr>
          <w:rFonts w:ascii="Arial Unicode MS" w:hAnsi="Arial Unicode MS" w:eastAsia="Arial Unicode MS" w:cs="Arial Unicode MS"/>
          <w:color w:val="000000"/>
          <w:kern w:val="0"/>
          <w:sz w:val="31"/>
          <w:szCs w:val="31"/>
          <w:highlight w:val="none"/>
          <w:lang w:bidi="ar"/>
        </w:rPr>
        <w:t>等）安全运行。</w:t>
      </w:r>
    </w:p>
    <w:p w14:paraId="74B311FB">
      <w:pPr>
        <w:widowControl/>
        <w:jc w:val="left"/>
        <w:rPr>
          <w:highlight w:val="none"/>
        </w:rPr>
      </w:pPr>
      <w:r>
        <w:rPr>
          <w:rFonts w:ascii="Arial Unicode MS" w:hAnsi="Arial Unicode MS" w:eastAsia="Arial Unicode MS" w:cs="Arial Unicode MS"/>
          <w:color w:val="000000"/>
          <w:kern w:val="0"/>
          <w:sz w:val="40"/>
          <w:szCs w:val="40"/>
          <w:highlight w:val="none"/>
          <w:lang w:bidi="ar"/>
        </w:rPr>
        <w:t>三、河道疏浚砂审批流程</w:t>
      </w:r>
    </w:p>
    <w:p w14:paraId="14C5BF73">
      <w:pPr>
        <w:widowControl/>
        <w:jc w:val="left"/>
        <w:rPr>
          <w:highlight w:val="none"/>
        </w:rPr>
      </w:pPr>
      <w:r>
        <w:rPr>
          <w:color w:val="000000"/>
          <w:kern w:val="0"/>
          <w:sz w:val="31"/>
          <w:szCs w:val="31"/>
          <w:highlight w:val="none"/>
          <w:lang w:bidi="ar"/>
        </w:rPr>
        <w:t>1.</w:t>
      </w:r>
      <w:r>
        <w:rPr>
          <w:rFonts w:ascii="Arial Unicode MS" w:hAnsi="Arial Unicode MS" w:eastAsia="Arial Unicode MS" w:cs="Arial Unicode MS"/>
          <w:color w:val="000000"/>
          <w:kern w:val="0"/>
          <w:sz w:val="31"/>
          <w:szCs w:val="31"/>
          <w:highlight w:val="none"/>
          <w:lang w:bidi="ar"/>
        </w:rPr>
        <w:t>县市防洪办出具清淤疏浚的必要性批复（或审查意见）；</w:t>
      </w:r>
    </w:p>
    <w:p w14:paraId="014E5C99">
      <w:pPr>
        <w:widowControl/>
        <w:jc w:val="left"/>
        <w:rPr>
          <w:highlight w:val="none"/>
        </w:rPr>
      </w:pPr>
      <w:r>
        <w:rPr>
          <w:color w:val="000000"/>
          <w:kern w:val="0"/>
          <w:sz w:val="31"/>
          <w:szCs w:val="31"/>
          <w:highlight w:val="none"/>
          <w:lang w:bidi="ar"/>
        </w:rPr>
        <w:t>2.</w:t>
      </w:r>
      <w:r>
        <w:rPr>
          <w:rFonts w:ascii="Arial Unicode MS" w:hAnsi="Arial Unicode MS" w:eastAsia="Arial Unicode MS" w:cs="Arial Unicode MS"/>
          <w:color w:val="000000"/>
          <w:kern w:val="0"/>
          <w:sz w:val="31"/>
          <w:szCs w:val="31"/>
          <w:highlight w:val="none"/>
          <w:lang w:bidi="ar"/>
        </w:rPr>
        <w:t>由县市水行政主管部门参照《水利部关于加强河道疏浚砂</w:t>
      </w:r>
    </w:p>
    <w:p w14:paraId="36430770">
      <w:pPr>
        <w:widowControl/>
        <w:jc w:val="left"/>
        <w:rPr>
          <w:highlight w:val="none"/>
        </w:rPr>
      </w:pPr>
      <w:r>
        <w:rPr>
          <w:rFonts w:ascii="Arial Unicode MS" w:hAnsi="Arial Unicode MS" w:eastAsia="Arial Unicode MS" w:cs="Arial Unicode MS"/>
          <w:color w:val="000000"/>
          <w:kern w:val="0"/>
          <w:sz w:val="31"/>
          <w:szCs w:val="31"/>
          <w:highlight w:val="none"/>
          <w:lang w:bidi="ar"/>
        </w:rPr>
        <w:t>综合利用管理的意见》（征求意见稿）意见的函（</w:t>
      </w:r>
      <w:r>
        <w:rPr>
          <w:color w:val="000000"/>
          <w:kern w:val="0"/>
          <w:sz w:val="31"/>
          <w:szCs w:val="31"/>
          <w:highlight w:val="none"/>
          <w:lang w:bidi="ar"/>
        </w:rPr>
        <w:t>2024</w:t>
      </w:r>
      <w:r>
        <w:rPr>
          <w:rFonts w:ascii="Arial Unicode MS" w:hAnsi="Arial Unicode MS" w:eastAsia="Arial Unicode MS" w:cs="Arial Unicode MS"/>
          <w:color w:val="000000"/>
          <w:kern w:val="0"/>
          <w:sz w:val="31"/>
          <w:szCs w:val="31"/>
          <w:highlight w:val="none"/>
          <w:lang w:bidi="ar"/>
        </w:rPr>
        <w:t>年</w:t>
      </w:r>
      <w:r>
        <w:rPr>
          <w:color w:val="000000"/>
          <w:kern w:val="0"/>
          <w:sz w:val="31"/>
          <w:szCs w:val="31"/>
          <w:highlight w:val="none"/>
          <w:lang w:bidi="ar"/>
        </w:rPr>
        <w:t>8</w:t>
      </w:r>
      <w:r>
        <w:rPr>
          <w:rFonts w:ascii="Arial Unicode MS" w:hAnsi="Arial Unicode MS" w:eastAsia="Arial Unicode MS" w:cs="Arial Unicode MS"/>
          <w:color w:val="000000"/>
          <w:kern w:val="0"/>
          <w:sz w:val="31"/>
          <w:szCs w:val="31"/>
          <w:highlight w:val="none"/>
          <w:lang w:bidi="ar"/>
        </w:rPr>
        <w:t>月</w:t>
      </w:r>
      <w:r>
        <w:rPr>
          <w:color w:val="000000"/>
          <w:kern w:val="0"/>
          <w:sz w:val="31"/>
          <w:szCs w:val="31"/>
          <w:highlight w:val="none"/>
          <w:lang w:bidi="ar"/>
        </w:rPr>
        <w:t>1</w:t>
      </w:r>
    </w:p>
    <w:p w14:paraId="448133D2">
      <w:pPr>
        <w:widowControl/>
        <w:jc w:val="left"/>
        <w:rPr>
          <w:highlight w:val="none"/>
        </w:rPr>
      </w:pPr>
      <w:r>
        <w:rPr>
          <w:rFonts w:ascii="Arial Unicode MS" w:hAnsi="Arial Unicode MS" w:eastAsia="Arial Unicode MS" w:cs="Arial Unicode MS"/>
          <w:color w:val="000000"/>
          <w:kern w:val="0"/>
          <w:sz w:val="31"/>
          <w:szCs w:val="31"/>
          <w:highlight w:val="none"/>
          <w:lang w:bidi="ar"/>
        </w:rPr>
        <w:t>日）组织编制</w:t>
      </w:r>
      <w:r>
        <w:rPr>
          <w:color w:val="000000"/>
          <w:kern w:val="0"/>
          <w:sz w:val="31"/>
          <w:szCs w:val="31"/>
          <w:highlight w:val="none"/>
          <w:lang w:bidi="ar"/>
        </w:rPr>
        <w:t>**</w:t>
      </w:r>
      <w:r>
        <w:rPr>
          <w:rFonts w:ascii="Arial Unicode MS" w:hAnsi="Arial Unicode MS" w:eastAsia="Arial Unicode MS" w:cs="Arial Unicode MS"/>
          <w:color w:val="000000"/>
          <w:kern w:val="0"/>
          <w:sz w:val="31"/>
          <w:szCs w:val="31"/>
          <w:highlight w:val="none"/>
          <w:lang w:bidi="ar"/>
        </w:rPr>
        <w:t>河道疏浚砂综合利用规划及</w:t>
      </w:r>
      <w:r>
        <w:rPr>
          <w:color w:val="000000"/>
          <w:kern w:val="0"/>
          <w:sz w:val="31"/>
          <w:szCs w:val="31"/>
          <w:highlight w:val="none"/>
          <w:lang w:bidi="ar"/>
        </w:rPr>
        <w:t>**</w:t>
      </w:r>
      <w:r>
        <w:rPr>
          <w:rFonts w:ascii="Arial Unicode MS" w:hAnsi="Arial Unicode MS" w:eastAsia="Arial Unicode MS" w:cs="Arial Unicode MS"/>
          <w:color w:val="000000"/>
          <w:kern w:val="0"/>
          <w:sz w:val="31"/>
          <w:szCs w:val="31"/>
          <w:highlight w:val="none"/>
          <w:lang w:bidi="ar"/>
        </w:rPr>
        <w:t>河道疏浚砂综合利</w:t>
      </w:r>
    </w:p>
    <w:p w14:paraId="2BADE651">
      <w:pPr>
        <w:widowControl/>
        <w:jc w:val="left"/>
        <w:rPr>
          <w:highlight w:val="none"/>
        </w:rPr>
      </w:pPr>
      <w:r>
        <w:rPr>
          <w:rFonts w:ascii="Arial Unicode MS" w:hAnsi="Arial Unicode MS" w:eastAsia="Arial Unicode MS" w:cs="Arial Unicode MS"/>
          <w:color w:val="000000"/>
          <w:kern w:val="0"/>
          <w:sz w:val="31"/>
          <w:szCs w:val="31"/>
          <w:highlight w:val="none"/>
          <w:lang w:bidi="ar"/>
        </w:rPr>
        <w:t>用实施方案；</w:t>
      </w:r>
    </w:p>
    <w:p w14:paraId="496981E6">
      <w:pPr>
        <w:widowControl/>
        <w:jc w:val="left"/>
        <w:rPr>
          <w:highlight w:val="none"/>
        </w:rPr>
      </w:pPr>
      <w:r>
        <w:rPr>
          <w:color w:val="000000"/>
          <w:kern w:val="0"/>
          <w:sz w:val="31"/>
          <w:szCs w:val="31"/>
          <w:highlight w:val="none"/>
          <w:lang w:bidi="ar"/>
        </w:rPr>
        <w:t>3.</w:t>
      </w:r>
      <w:r>
        <w:rPr>
          <w:rFonts w:ascii="Arial Unicode MS" w:hAnsi="Arial Unicode MS" w:eastAsia="Arial Unicode MS" w:cs="Arial Unicode MS"/>
          <w:color w:val="000000"/>
          <w:kern w:val="0"/>
          <w:sz w:val="31"/>
          <w:szCs w:val="31"/>
          <w:highlight w:val="none"/>
          <w:lang w:bidi="ar"/>
        </w:rPr>
        <w:t>征求县市自然资源、生态环境、林草等部门及河流最高一</w:t>
      </w:r>
    </w:p>
    <w:p w14:paraId="6FA9318A">
      <w:pPr>
        <w:widowControl/>
        <w:jc w:val="left"/>
        <w:rPr>
          <w:highlight w:val="none"/>
        </w:rPr>
      </w:pPr>
      <w:r>
        <w:rPr>
          <w:rFonts w:ascii="Arial Unicode MS" w:hAnsi="Arial Unicode MS" w:eastAsia="Arial Unicode MS" w:cs="Arial Unicode MS"/>
          <w:color w:val="000000"/>
          <w:kern w:val="0"/>
          <w:sz w:val="31"/>
          <w:szCs w:val="31"/>
          <w:highlight w:val="none"/>
          <w:lang w:bidi="ar"/>
        </w:rPr>
        <w:t>级河长意见；</w:t>
      </w:r>
    </w:p>
    <w:p w14:paraId="48DE64EE">
      <w:pPr>
        <w:widowControl/>
        <w:jc w:val="left"/>
        <w:rPr>
          <w:highlight w:val="none"/>
        </w:rPr>
      </w:pPr>
      <w:r>
        <w:rPr>
          <w:color w:val="000000"/>
          <w:kern w:val="0"/>
          <w:sz w:val="31"/>
          <w:szCs w:val="31"/>
          <w:highlight w:val="none"/>
          <w:lang w:bidi="ar"/>
        </w:rPr>
        <w:t>4.</w:t>
      </w:r>
      <w:r>
        <w:rPr>
          <w:rFonts w:ascii="Arial Unicode MS" w:hAnsi="Arial Unicode MS" w:eastAsia="Arial Unicode MS" w:cs="Arial Unicode MS"/>
          <w:color w:val="000000"/>
          <w:kern w:val="0"/>
          <w:sz w:val="31"/>
          <w:szCs w:val="31"/>
          <w:highlight w:val="none"/>
          <w:lang w:bidi="ar"/>
        </w:rPr>
        <w:t>河道疏浚砂综合利用规划及河道疏浚砂综合利用实施方案报州水利局审查；</w:t>
      </w:r>
    </w:p>
    <w:p w14:paraId="16D2EA96">
      <w:pPr>
        <w:widowControl/>
        <w:jc w:val="left"/>
        <w:rPr>
          <w:highlight w:val="none"/>
        </w:rPr>
      </w:pPr>
      <w:r>
        <w:rPr>
          <w:color w:val="000000"/>
          <w:kern w:val="0"/>
          <w:sz w:val="31"/>
          <w:szCs w:val="31"/>
          <w:highlight w:val="none"/>
          <w:lang w:bidi="ar"/>
        </w:rPr>
        <w:t>5.</w:t>
      </w:r>
      <w:r>
        <w:rPr>
          <w:rFonts w:ascii="Arial Unicode MS" w:hAnsi="Arial Unicode MS" w:eastAsia="Arial Unicode MS" w:cs="Arial Unicode MS"/>
          <w:color w:val="000000"/>
          <w:kern w:val="0"/>
          <w:sz w:val="31"/>
          <w:szCs w:val="31"/>
          <w:highlight w:val="none"/>
          <w:lang w:bidi="ar"/>
        </w:rPr>
        <w:t>经州水利局审查同意的河道疏浚砂综合利用规划及河道</w:t>
      </w:r>
    </w:p>
    <w:p w14:paraId="347E3417">
      <w:pPr>
        <w:widowControl/>
        <w:jc w:val="left"/>
        <w:rPr>
          <w:highlight w:val="none"/>
        </w:rPr>
      </w:pPr>
      <w:r>
        <w:rPr>
          <w:rFonts w:ascii="Arial Unicode MS" w:hAnsi="Arial Unicode MS" w:eastAsia="Arial Unicode MS" w:cs="Arial Unicode MS"/>
          <w:color w:val="000000"/>
          <w:kern w:val="0"/>
          <w:sz w:val="31"/>
          <w:szCs w:val="31"/>
          <w:highlight w:val="none"/>
          <w:lang w:bidi="ar"/>
        </w:rPr>
        <w:t>疏浚砂综合利用实施方案报县市人民政府批准实施；</w:t>
      </w:r>
    </w:p>
    <w:p w14:paraId="68A127A7">
      <w:pPr>
        <w:widowControl/>
        <w:jc w:val="left"/>
        <w:rPr>
          <w:highlight w:val="none"/>
        </w:rPr>
      </w:pPr>
      <w:r>
        <w:rPr>
          <w:color w:val="000000"/>
          <w:kern w:val="0"/>
          <w:sz w:val="31"/>
          <w:szCs w:val="31"/>
          <w:highlight w:val="none"/>
          <w:lang w:bidi="ar"/>
        </w:rPr>
        <w:t>6.</w:t>
      </w:r>
      <w:r>
        <w:rPr>
          <w:rFonts w:ascii="Arial Unicode MS" w:hAnsi="Arial Unicode MS" w:eastAsia="Arial Unicode MS" w:cs="Arial Unicode MS"/>
          <w:color w:val="000000"/>
          <w:kern w:val="0"/>
          <w:sz w:val="31"/>
          <w:szCs w:val="31"/>
          <w:highlight w:val="none"/>
          <w:lang w:bidi="ar"/>
        </w:rPr>
        <w:t>县市水行政主管部门确定清淤疏浚单位；</w:t>
      </w:r>
    </w:p>
    <w:p w14:paraId="097B0E95">
      <w:pPr>
        <w:widowControl/>
        <w:jc w:val="left"/>
        <w:rPr>
          <w:highlight w:val="none"/>
        </w:rPr>
      </w:pPr>
      <w:r>
        <w:rPr>
          <w:color w:val="000000"/>
          <w:kern w:val="0"/>
          <w:sz w:val="31"/>
          <w:szCs w:val="31"/>
          <w:highlight w:val="none"/>
          <w:lang w:bidi="ar"/>
        </w:rPr>
        <w:t>7.</w:t>
      </w:r>
      <w:r>
        <w:rPr>
          <w:rFonts w:ascii="Arial Unicode MS" w:hAnsi="Arial Unicode MS" w:eastAsia="Arial Unicode MS" w:cs="Arial Unicode MS"/>
          <w:color w:val="000000"/>
          <w:kern w:val="0"/>
          <w:sz w:val="31"/>
          <w:szCs w:val="31"/>
          <w:highlight w:val="none"/>
          <w:lang w:bidi="ar"/>
        </w:rPr>
        <w:t>清淤疏浚所得砂石资源由县市人民政府统一经营，不得私</w:t>
      </w:r>
    </w:p>
    <w:p w14:paraId="50EB2698">
      <w:pPr>
        <w:widowControl/>
        <w:jc w:val="left"/>
        <w:rPr>
          <w:highlight w:val="none"/>
        </w:rPr>
      </w:pPr>
      <w:r>
        <w:rPr>
          <w:rFonts w:ascii="Arial Unicode MS" w:hAnsi="Arial Unicode MS" w:eastAsia="Arial Unicode MS" w:cs="Arial Unicode MS"/>
          <w:color w:val="000000"/>
          <w:kern w:val="0"/>
          <w:sz w:val="31"/>
          <w:szCs w:val="31"/>
          <w:highlight w:val="none"/>
          <w:lang w:bidi="ar"/>
        </w:rPr>
        <w:t>自出售。</w:t>
      </w:r>
    </w:p>
    <w:p w14:paraId="68348576">
      <w:pPr>
        <w:widowControl/>
        <w:jc w:val="left"/>
        <w:rPr>
          <w:highlight w:val="none"/>
        </w:rPr>
      </w:pPr>
      <w:r>
        <w:rPr>
          <w:color w:val="000000"/>
          <w:kern w:val="0"/>
          <w:sz w:val="31"/>
          <w:szCs w:val="31"/>
          <w:highlight w:val="none"/>
          <w:lang w:bidi="ar"/>
        </w:rPr>
        <w:t>8.</w:t>
      </w:r>
      <w:r>
        <w:rPr>
          <w:rFonts w:ascii="Arial Unicode MS" w:hAnsi="Arial Unicode MS" w:eastAsia="Arial Unicode MS" w:cs="Arial Unicode MS"/>
          <w:color w:val="000000"/>
          <w:kern w:val="0"/>
          <w:sz w:val="31"/>
          <w:szCs w:val="31"/>
          <w:highlight w:val="none"/>
          <w:lang w:bidi="ar"/>
        </w:rPr>
        <w:t>所有程序履行完成后公示</w:t>
      </w:r>
      <w:r>
        <w:rPr>
          <w:color w:val="000000"/>
          <w:kern w:val="0"/>
          <w:sz w:val="31"/>
          <w:szCs w:val="31"/>
          <w:highlight w:val="none"/>
          <w:lang w:bidi="ar"/>
        </w:rPr>
        <w:t>“</w:t>
      </w:r>
      <w:r>
        <w:rPr>
          <w:rFonts w:ascii="Arial Unicode MS" w:hAnsi="Arial Unicode MS" w:eastAsia="Arial Unicode MS" w:cs="Arial Unicode MS"/>
          <w:color w:val="000000"/>
          <w:kern w:val="0"/>
          <w:sz w:val="31"/>
          <w:szCs w:val="31"/>
          <w:highlight w:val="none"/>
          <w:lang w:bidi="ar"/>
        </w:rPr>
        <w:t>四个责任人</w:t>
      </w:r>
      <w:r>
        <w:rPr>
          <w:color w:val="000000"/>
          <w:kern w:val="0"/>
          <w:sz w:val="31"/>
          <w:szCs w:val="31"/>
          <w:highlight w:val="none"/>
          <w:lang w:bidi="ar"/>
        </w:rPr>
        <w:t>”</w:t>
      </w:r>
      <w:r>
        <w:rPr>
          <w:rFonts w:ascii="Arial Unicode MS" w:hAnsi="Arial Unicode MS" w:eastAsia="Arial Unicode MS" w:cs="Arial Unicode MS"/>
          <w:color w:val="000000"/>
          <w:kern w:val="0"/>
          <w:sz w:val="31"/>
          <w:szCs w:val="31"/>
          <w:highlight w:val="none"/>
          <w:lang w:bidi="ar"/>
        </w:rPr>
        <w:t>后方可开展河道</w:t>
      </w:r>
    </w:p>
    <w:p w14:paraId="41F0DD74">
      <w:pPr>
        <w:widowControl/>
        <w:jc w:val="left"/>
        <w:rPr>
          <w:highlight w:val="none"/>
        </w:rPr>
      </w:pPr>
      <w:r>
        <w:rPr>
          <w:rFonts w:ascii="Arial Unicode MS" w:hAnsi="Arial Unicode MS" w:eastAsia="Arial Unicode MS" w:cs="Arial Unicode MS"/>
          <w:color w:val="000000"/>
          <w:kern w:val="0"/>
          <w:sz w:val="31"/>
          <w:szCs w:val="31"/>
          <w:highlight w:val="none"/>
          <w:lang w:bidi="ar"/>
        </w:rPr>
        <w:t>采砂（四个责任人：河长责任人、行政主管部门责任人、现场监</w:t>
      </w:r>
    </w:p>
    <w:p w14:paraId="506C7FF5">
      <w:pPr>
        <w:widowControl/>
        <w:jc w:val="left"/>
        <w:rPr>
          <w:highlight w:val="none"/>
        </w:rPr>
      </w:pPr>
      <w:r>
        <w:rPr>
          <w:rFonts w:ascii="Arial Unicode MS" w:hAnsi="Arial Unicode MS" w:eastAsia="Arial Unicode MS" w:cs="Arial Unicode MS"/>
          <w:color w:val="000000"/>
          <w:kern w:val="0"/>
          <w:sz w:val="31"/>
          <w:szCs w:val="31"/>
          <w:highlight w:val="none"/>
          <w:lang w:bidi="ar"/>
        </w:rPr>
        <w:t>管责任人、行政执法责任人）。</w:t>
      </w:r>
    </w:p>
    <w:p w14:paraId="6D75CB85">
      <w:pPr>
        <w:pStyle w:val="3"/>
        <w:rPr>
          <w:highlight w:val="none"/>
        </w:rPr>
      </w:pP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altName w:val="Arial"/>
    <w:panose1 w:val="020B0604020202020204"/>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BBFF8">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870328F">
                          <w:pPr>
                            <w:pStyle w:val="7"/>
                            <w:rPr>
                              <w:sz w:val="20"/>
                              <w:szCs w:val="20"/>
                            </w:rPr>
                          </w:pPr>
                          <w:r>
                            <w:rPr>
                              <w:sz w:val="20"/>
                              <w:szCs w:val="20"/>
                            </w:rPr>
                            <w:fldChar w:fldCharType="begin"/>
                          </w:r>
                          <w:r>
                            <w:rPr>
                              <w:sz w:val="20"/>
                              <w:szCs w:val="20"/>
                            </w:rPr>
                            <w:instrText xml:space="preserve"> PAGE  \* MERGEFORMAT </w:instrText>
                          </w:r>
                          <w:r>
                            <w:rPr>
                              <w:sz w:val="20"/>
                              <w:szCs w:val="20"/>
                            </w:rPr>
                            <w:fldChar w:fldCharType="separate"/>
                          </w:r>
                          <w:r>
                            <w:rPr>
                              <w:sz w:val="20"/>
                              <w:szCs w:val="20"/>
                            </w:rPr>
                            <w:t>1</w:t>
                          </w:r>
                          <w:r>
                            <w:rPr>
                              <w:sz w:val="20"/>
                              <w:szCs w:val="20"/>
                            </w:rPr>
                            <w:fldChar w:fldCharType="end"/>
                          </w:r>
                        </w:p>
                      </w:txbxContent>
                    </wps:txbx>
                    <wps:bodyPr wrap="none" lIns="0" tIns="0" rIns="0" bIns="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SAYMIBAACN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V1S4rjFgZ9//jj/ejw/fCdv&#10;sjx9gBqz7gLmpeG9H3BpZj+gM7MeVLT5i3wIxlHc00VcOSQi8qPVcrWqMCQwNl8Qnz09DxHSB+kt&#10;yUZDI06viMqPnyCNqXNKrub8rTamTNC4vxyImT0s9z72mK007IaJ0M63J+TT4+Ab6nDPKTEfHeqa&#10;d2Q24mzsJiPXgPDukLBw6SejjlBTMZxSYTRtVF6DP+8l6+kv2vw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Av0gGDCAQAAjQMAAA4AAAAAAAAAAQAgAAAAHgEAAGRycy9lMm9Eb2MueG1sUEsF&#10;BgAAAAAGAAYAWQEAAFIFAAAAAA==&#10;">
              <v:fill on="f" focussize="0,0"/>
              <v:stroke on="f"/>
              <v:imagedata o:title=""/>
              <o:lock v:ext="edit" aspectratio="f"/>
              <v:textbox inset="0mm,0mm,0mm,0mm" style="mso-fit-shape-to-text:t;">
                <w:txbxContent>
                  <w:p w14:paraId="4870328F">
                    <w:pPr>
                      <w:pStyle w:val="7"/>
                      <w:rPr>
                        <w:sz w:val="20"/>
                        <w:szCs w:val="20"/>
                      </w:rPr>
                    </w:pPr>
                    <w:r>
                      <w:rPr>
                        <w:sz w:val="20"/>
                        <w:szCs w:val="20"/>
                      </w:rPr>
                      <w:fldChar w:fldCharType="begin"/>
                    </w:r>
                    <w:r>
                      <w:rPr>
                        <w:sz w:val="20"/>
                        <w:szCs w:val="20"/>
                      </w:rPr>
                      <w:instrText xml:space="preserve"> PAGE  \* MERGEFORMAT </w:instrText>
                    </w:r>
                    <w:r>
                      <w:rPr>
                        <w:sz w:val="20"/>
                        <w:szCs w:val="20"/>
                      </w:rPr>
                      <w:fldChar w:fldCharType="separate"/>
                    </w:r>
                    <w:r>
                      <w:rPr>
                        <w:sz w:val="20"/>
                        <w:szCs w:val="20"/>
                      </w:rPr>
                      <w:t>1</w:t>
                    </w:r>
                    <w:r>
                      <w:rPr>
                        <w:sz w:val="20"/>
                        <w:szCs w:val="20"/>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lhMWQ4OWI2MTMwZDg0ODM4MjQxMWE5ZjdhOGJjZjUifQ=="/>
  </w:docVars>
  <w:rsids>
    <w:rsidRoot w:val="0055794C"/>
    <w:rsid w:val="00001021"/>
    <w:rsid w:val="000242DA"/>
    <w:rsid w:val="000A7602"/>
    <w:rsid w:val="0031422A"/>
    <w:rsid w:val="003247FA"/>
    <w:rsid w:val="003E68D0"/>
    <w:rsid w:val="00454DAF"/>
    <w:rsid w:val="004B4131"/>
    <w:rsid w:val="004E72BB"/>
    <w:rsid w:val="005151A6"/>
    <w:rsid w:val="0055794C"/>
    <w:rsid w:val="00581C63"/>
    <w:rsid w:val="005E77B8"/>
    <w:rsid w:val="006C7A42"/>
    <w:rsid w:val="006D6743"/>
    <w:rsid w:val="00712104"/>
    <w:rsid w:val="00780127"/>
    <w:rsid w:val="007C7C70"/>
    <w:rsid w:val="007E2689"/>
    <w:rsid w:val="0083176D"/>
    <w:rsid w:val="00836948"/>
    <w:rsid w:val="00870B86"/>
    <w:rsid w:val="008E4BEB"/>
    <w:rsid w:val="008E7D8F"/>
    <w:rsid w:val="008F6BBE"/>
    <w:rsid w:val="00971368"/>
    <w:rsid w:val="00A55CF4"/>
    <w:rsid w:val="00A908AA"/>
    <w:rsid w:val="00A97E6D"/>
    <w:rsid w:val="00B616AA"/>
    <w:rsid w:val="00C05DEF"/>
    <w:rsid w:val="00CD01E7"/>
    <w:rsid w:val="00CD3EF7"/>
    <w:rsid w:val="00DB5B63"/>
    <w:rsid w:val="00E4297C"/>
    <w:rsid w:val="00ED284B"/>
    <w:rsid w:val="00EE7012"/>
    <w:rsid w:val="00F613B1"/>
    <w:rsid w:val="00F775B8"/>
    <w:rsid w:val="00FC300F"/>
    <w:rsid w:val="00FD39D3"/>
    <w:rsid w:val="00FD6792"/>
    <w:rsid w:val="00FF21DB"/>
    <w:rsid w:val="01AE26FC"/>
    <w:rsid w:val="01C02E74"/>
    <w:rsid w:val="01CC1F55"/>
    <w:rsid w:val="03227231"/>
    <w:rsid w:val="03E94B2B"/>
    <w:rsid w:val="058B2AD1"/>
    <w:rsid w:val="05AA0636"/>
    <w:rsid w:val="093A7C50"/>
    <w:rsid w:val="09C040B8"/>
    <w:rsid w:val="0B903ADE"/>
    <w:rsid w:val="0B9D5516"/>
    <w:rsid w:val="0BE57CAE"/>
    <w:rsid w:val="0C486E70"/>
    <w:rsid w:val="0E8D2557"/>
    <w:rsid w:val="1021564D"/>
    <w:rsid w:val="116457F1"/>
    <w:rsid w:val="12AE349E"/>
    <w:rsid w:val="15161207"/>
    <w:rsid w:val="154C316C"/>
    <w:rsid w:val="166523E4"/>
    <w:rsid w:val="17755E08"/>
    <w:rsid w:val="19A277FE"/>
    <w:rsid w:val="19F4660F"/>
    <w:rsid w:val="19F65454"/>
    <w:rsid w:val="1AD40273"/>
    <w:rsid w:val="1B221A8F"/>
    <w:rsid w:val="1C60574F"/>
    <w:rsid w:val="1CA23A94"/>
    <w:rsid w:val="1D01483C"/>
    <w:rsid w:val="1D7C1752"/>
    <w:rsid w:val="1FE54122"/>
    <w:rsid w:val="247D244F"/>
    <w:rsid w:val="25331581"/>
    <w:rsid w:val="25A71CF8"/>
    <w:rsid w:val="2758774E"/>
    <w:rsid w:val="27CB43C4"/>
    <w:rsid w:val="289E2D86"/>
    <w:rsid w:val="28C85BC1"/>
    <w:rsid w:val="2976210D"/>
    <w:rsid w:val="2A223788"/>
    <w:rsid w:val="2A396853"/>
    <w:rsid w:val="2BA81BE1"/>
    <w:rsid w:val="2BDD46C6"/>
    <w:rsid w:val="2C6D5A4A"/>
    <w:rsid w:val="2D054F04"/>
    <w:rsid w:val="2E6D744E"/>
    <w:rsid w:val="2FFB15BE"/>
    <w:rsid w:val="30525B9E"/>
    <w:rsid w:val="307A6987"/>
    <w:rsid w:val="30A77050"/>
    <w:rsid w:val="318B5E84"/>
    <w:rsid w:val="32592E55"/>
    <w:rsid w:val="340053F5"/>
    <w:rsid w:val="341B3FDD"/>
    <w:rsid w:val="368864E2"/>
    <w:rsid w:val="37486BC0"/>
    <w:rsid w:val="37C91E5F"/>
    <w:rsid w:val="39062919"/>
    <w:rsid w:val="39682C5B"/>
    <w:rsid w:val="3A1129C8"/>
    <w:rsid w:val="3C531908"/>
    <w:rsid w:val="3CAB22F6"/>
    <w:rsid w:val="3CE74204"/>
    <w:rsid w:val="3DBD6B35"/>
    <w:rsid w:val="40401889"/>
    <w:rsid w:val="40C03EFD"/>
    <w:rsid w:val="41735459"/>
    <w:rsid w:val="41A016AC"/>
    <w:rsid w:val="4262140A"/>
    <w:rsid w:val="42641245"/>
    <w:rsid w:val="43B61592"/>
    <w:rsid w:val="43BC1400"/>
    <w:rsid w:val="44585940"/>
    <w:rsid w:val="4503257E"/>
    <w:rsid w:val="465B4AC9"/>
    <w:rsid w:val="47EC1AC1"/>
    <w:rsid w:val="47F95D3F"/>
    <w:rsid w:val="48A56114"/>
    <w:rsid w:val="48A70BA3"/>
    <w:rsid w:val="48CE3AAE"/>
    <w:rsid w:val="49FA227C"/>
    <w:rsid w:val="4A525E27"/>
    <w:rsid w:val="4A8A03ED"/>
    <w:rsid w:val="4CBD1512"/>
    <w:rsid w:val="4DAB0271"/>
    <w:rsid w:val="5151190D"/>
    <w:rsid w:val="51C1728B"/>
    <w:rsid w:val="526F57C8"/>
    <w:rsid w:val="55857924"/>
    <w:rsid w:val="55E62245"/>
    <w:rsid w:val="5A0F5B12"/>
    <w:rsid w:val="5AB631A7"/>
    <w:rsid w:val="5BEE6B05"/>
    <w:rsid w:val="5EBB19B1"/>
    <w:rsid w:val="5F4A0AB3"/>
    <w:rsid w:val="5FF77CF7"/>
    <w:rsid w:val="60290F46"/>
    <w:rsid w:val="60AE3197"/>
    <w:rsid w:val="613E3B50"/>
    <w:rsid w:val="61F035ED"/>
    <w:rsid w:val="65A275F7"/>
    <w:rsid w:val="663F18BD"/>
    <w:rsid w:val="67130780"/>
    <w:rsid w:val="6B5A6F2A"/>
    <w:rsid w:val="6D1014FE"/>
    <w:rsid w:val="6F5859AC"/>
    <w:rsid w:val="71B30E99"/>
    <w:rsid w:val="71C65CEA"/>
    <w:rsid w:val="72B66B96"/>
    <w:rsid w:val="72F378F8"/>
    <w:rsid w:val="73BA21C4"/>
    <w:rsid w:val="74253AE1"/>
    <w:rsid w:val="74AA048A"/>
    <w:rsid w:val="74F130BE"/>
    <w:rsid w:val="789538BF"/>
    <w:rsid w:val="789A734B"/>
    <w:rsid w:val="7A7268AA"/>
    <w:rsid w:val="7CFC55FB"/>
    <w:rsid w:val="7E2D01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3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rPr>
      <w:rFonts w:ascii="Calibri" w:hAnsi="Calibri"/>
      <w:sz w:val="28"/>
    </w:rPr>
  </w:style>
  <w:style w:type="paragraph" w:styleId="3">
    <w:name w:val="Body Text"/>
    <w:basedOn w:val="1"/>
    <w:next w:val="1"/>
    <w:qFormat/>
    <w:uiPriority w:val="1"/>
    <w:pPr>
      <w:keepNext/>
      <w:spacing w:line="360" w:lineRule="atLeast"/>
      <w:ind w:firstLine="480"/>
      <w:outlineLvl w:val="2"/>
    </w:pPr>
    <w:rPr>
      <w:sz w:val="24"/>
    </w:rPr>
  </w:style>
  <w:style w:type="paragraph" w:styleId="4">
    <w:name w:val="Body Text Indent"/>
    <w:basedOn w:val="1"/>
    <w:link w:val="16"/>
    <w:qFormat/>
    <w:uiPriority w:val="0"/>
    <w:pPr>
      <w:spacing w:line="360" w:lineRule="auto"/>
      <w:ind w:firstLine="480" w:firstLineChars="200"/>
    </w:pPr>
    <w:rPr>
      <w:rFonts w:ascii="宋体" w:hAnsi="Calibri"/>
      <w:sz w:val="24"/>
      <w:szCs w:val="24"/>
    </w:rPr>
  </w:style>
  <w:style w:type="paragraph" w:styleId="5">
    <w:name w:val="Plain Text"/>
    <w:basedOn w:val="1"/>
    <w:link w:val="13"/>
    <w:autoRedefine/>
    <w:qFormat/>
    <w:uiPriority w:val="0"/>
    <w:rPr>
      <w:rFonts w:ascii="宋体" w:hAnsi="Courier New" w:eastAsia="仿宋_GB2312" w:cstheme="minorBidi"/>
      <w:sz w:val="21"/>
      <w:szCs w:val="28"/>
    </w:rPr>
  </w:style>
  <w:style w:type="paragraph" w:styleId="6">
    <w:name w:val="Balloon Text"/>
    <w:basedOn w:val="1"/>
    <w:link w:val="11"/>
    <w:semiHidden/>
    <w:unhideWhenUsed/>
    <w:qFormat/>
    <w:uiPriority w:val="99"/>
    <w:rPr>
      <w:sz w:val="18"/>
      <w:szCs w:val="18"/>
    </w:rPr>
  </w:style>
  <w:style w:type="paragraph" w:styleId="7">
    <w:name w:val="footer"/>
    <w:basedOn w:val="1"/>
    <w:link w:val="15"/>
    <w:autoRedefine/>
    <w:semiHidden/>
    <w:unhideWhenUsed/>
    <w:qFormat/>
    <w:uiPriority w:val="99"/>
    <w:pPr>
      <w:tabs>
        <w:tab w:val="center" w:pos="4153"/>
        <w:tab w:val="right" w:pos="8306"/>
      </w:tabs>
      <w:snapToGrid w:val="0"/>
      <w:jc w:val="left"/>
    </w:pPr>
    <w:rPr>
      <w:sz w:val="18"/>
      <w:szCs w:val="18"/>
    </w:rPr>
  </w:style>
  <w:style w:type="paragraph" w:styleId="8">
    <w:name w:val="header"/>
    <w:basedOn w:val="1"/>
    <w:link w:val="14"/>
    <w:autoRedefine/>
    <w:unhideWhenUsed/>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customStyle="1" w:styleId="11">
    <w:name w:val="批注框文本 字符"/>
    <w:basedOn w:val="10"/>
    <w:link w:val="6"/>
    <w:autoRedefine/>
    <w:semiHidden/>
    <w:qFormat/>
    <w:uiPriority w:val="99"/>
    <w:rPr>
      <w:rFonts w:ascii="Times New Roman" w:hAnsi="Times New Roman" w:eastAsia="宋体" w:cs="Times New Roman"/>
      <w:sz w:val="18"/>
      <w:szCs w:val="18"/>
    </w:rPr>
  </w:style>
  <w:style w:type="character" w:customStyle="1" w:styleId="12">
    <w:name w:val="纯文本 Char"/>
    <w:qFormat/>
    <w:uiPriority w:val="0"/>
    <w:rPr>
      <w:rFonts w:ascii="宋体" w:hAnsi="Courier New" w:eastAsia="仿宋_GB2312"/>
      <w:szCs w:val="28"/>
    </w:rPr>
  </w:style>
  <w:style w:type="character" w:customStyle="1" w:styleId="13">
    <w:name w:val="纯文本 字符"/>
    <w:basedOn w:val="10"/>
    <w:link w:val="5"/>
    <w:semiHidden/>
    <w:qFormat/>
    <w:uiPriority w:val="99"/>
    <w:rPr>
      <w:rFonts w:ascii="宋体" w:hAnsi="Courier New" w:eastAsia="宋体" w:cs="Courier New"/>
      <w:szCs w:val="21"/>
    </w:rPr>
  </w:style>
  <w:style w:type="character" w:customStyle="1" w:styleId="14">
    <w:name w:val="页眉 字符"/>
    <w:basedOn w:val="10"/>
    <w:link w:val="8"/>
    <w:autoRedefine/>
    <w:qFormat/>
    <w:uiPriority w:val="0"/>
    <w:rPr>
      <w:rFonts w:ascii="Times New Roman" w:hAnsi="Times New Roman" w:eastAsia="宋体" w:cs="Times New Roman"/>
      <w:sz w:val="18"/>
      <w:szCs w:val="20"/>
    </w:rPr>
  </w:style>
  <w:style w:type="character" w:customStyle="1" w:styleId="15">
    <w:name w:val="页脚 字符"/>
    <w:basedOn w:val="10"/>
    <w:link w:val="7"/>
    <w:autoRedefine/>
    <w:semiHidden/>
    <w:qFormat/>
    <w:uiPriority w:val="99"/>
    <w:rPr>
      <w:rFonts w:ascii="Times New Roman" w:hAnsi="Times New Roman" w:eastAsia="宋体" w:cs="Times New Roman"/>
      <w:sz w:val="18"/>
      <w:szCs w:val="18"/>
    </w:rPr>
  </w:style>
  <w:style w:type="character" w:customStyle="1" w:styleId="16">
    <w:name w:val="正文文本缩进 字符"/>
    <w:basedOn w:val="10"/>
    <w:link w:val="4"/>
    <w:autoRedefine/>
    <w:qFormat/>
    <w:uiPriority w:val="0"/>
    <w:rPr>
      <w:rFonts w:ascii="宋体" w:hAnsi="Calibri" w:eastAsia="宋体" w:cs="Times New Roman"/>
      <w:sz w:val="24"/>
      <w:szCs w:val="24"/>
    </w:rPr>
  </w:style>
  <w:style w:type="paragraph" w:customStyle="1" w:styleId="17">
    <w:name w:val="样式 四号 首行缩进:  2 字符 行距: 1.5 倍行距"/>
    <w:basedOn w:val="1"/>
    <w:qFormat/>
    <w:uiPriority w:val="0"/>
    <w:pPr>
      <w:adjustRightInd w:val="0"/>
      <w:snapToGrid w:val="0"/>
      <w:spacing w:line="360" w:lineRule="auto"/>
      <w:ind w:firstLine="480"/>
    </w:pPr>
    <w:rPr>
      <w:rFonts w:ascii="仿宋" w:hAnsi="仿宋" w:eastAsia="仿宋" w:cs="宋体"/>
      <w:sz w:val="24"/>
    </w:rPr>
  </w:style>
  <w:style w:type="paragraph" w:customStyle="1" w:styleId="18">
    <w:name w:val="样式  表头"/>
    <w:basedOn w:val="2"/>
    <w:qFormat/>
    <w:uiPriority w:val="0"/>
    <w:pPr>
      <w:jc w:val="center"/>
    </w:pPr>
    <w:rPr>
      <w:rFonts w:eastAsia="仿宋_GB2312"/>
      <w:b/>
      <w:bCs/>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3415</Words>
  <Characters>3647</Characters>
  <Lines>27</Lines>
  <Paragraphs>7</Paragraphs>
  <TotalTime>5</TotalTime>
  <ScaleCrop>false</ScaleCrop>
  <LinksUpToDate>false</LinksUpToDate>
  <CharactersWithSpaces>3837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2023-02-07T04:40:00Z</dcterms:created>
  <dc:creator>sw</dc:creator>
  <cp:lastModifiedBy>荷笠带斜阳</cp:lastModifiedBy>
  <cp:lastPrinted>2025-03-26T03:21:00Z</cp:lastPrinted>
  <dcterms:modified xsi:type="dcterms:W3CDTF">2025-04-03T08:57:31Z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51CD9FCA2E1448B3A12D2ECE96E095F7_13</vt:lpwstr>
  </property>
  <property fmtid="{D5CDD505-2E9C-101B-9397-08002B2CF9AE}" pid="4" name="KSOTemplateDocerSaveRecord">
    <vt:lpwstr>eyJoZGlkIjoiNDg3MTM5NjYwMDJlZGQxZjRhNzJlNWIzZmZhODUxMTgiLCJ1c2VySWQiOiI1NDgwNjc2NTIifQ==</vt:lpwstr>
  </property>
</Properties>
</file>