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748A8">
      <w:pPr>
        <w:wordWrap w:val="0"/>
        <w:spacing w:line="360" w:lineRule="auto"/>
        <w:jc w:val="center"/>
        <w:rPr>
          <w:rFonts w:hint="eastAsia" w:ascii="仿宋" w:hAnsi="仿宋" w:eastAsia="仿宋" w:cs="仿宋"/>
          <w:b/>
          <w:color w:val="auto"/>
          <w:sz w:val="28"/>
          <w:szCs w:val="28"/>
          <w:highlight w:val="none"/>
          <w:lang w:eastAsia="zh-CN"/>
        </w:rPr>
      </w:pPr>
      <w:bookmarkStart w:id="3" w:name="_GoBack"/>
      <w:r>
        <w:rPr>
          <w:rFonts w:hint="eastAsia" w:ascii="仿宋" w:hAnsi="仿宋" w:eastAsia="仿宋" w:cs="仿宋"/>
          <w:b/>
          <w:color w:val="auto"/>
          <w:sz w:val="28"/>
          <w:szCs w:val="28"/>
          <w:highlight w:val="none"/>
          <w:lang w:eastAsia="zh-CN"/>
        </w:rPr>
        <w:t>元盛祥府</w:t>
      </w:r>
      <w:r>
        <w:rPr>
          <w:rFonts w:hint="eastAsia" w:ascii="仿宋" w:hAnsi="仿宋" w:eastAsia="仿宋" w:cs="仿宋"/>
          <w:b/>
          <w:color w:val="auto"/>
          <w:sz w:val="28"/>
          <w:szCs w:val="28"/>
          <w:highlight w:val="none"/>
          <w:lang w:val="en-US" w:eastAsia="zh-CN"/>
        </w:rPr>
        <w:t>物料</w:t>
      </w:r>
      <w:r>
        <w:rPr>
          <w:rFonts w:hint="eastAsia" w:ascii="仿宋" w:hAnsi="仿宋" w:eastAsia="仿宋" w:cs="仿宋"/>
          <w:b/>
          <w:color w:val="auto"/>
          <w:sz w:val="28"/>
          <w:szCs w:val="28"/>
          <w:highlight w:val="none"/>
          <w:lang w:eastAsia="zh-CN"/>
        </w:rPr>
        <w:t>制作及安装合同</w:t>
      </w:r>
    </w:p>
    <w:bookmarkEnd w:id="3"/>
    <w:p w14:paraId="35726B35">
      <w:pPr>
        <w:tabs>
          <w:tab w:val="left" w:pos="6670"/>
        </w:tabs>
        <w:wordWrap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甲方（专业工程发包人）：</w:t>
      </w:r>
      <w:r>
        <w:rPr>
          <w:rFonts w:hint="eastAsia" w:ascii="仿宋" w:hAnsi="仿宋" w:eastAsia="仿宋" w:cs="仿宋"/>
          <w:b/>
          <w:bCs/>
          <w:color w:val="auto"/>
          <w:sz w:val="24"/>
          <w:szCs w:val="24"/>
          <w:highlight w:val="none"/>
          <w:lang w:eastAsia="zh-CN"/>
        </w:rPr>
        <w:t>新疆元盛美华房地产开发有限责任公司</w:t>
      </w:r>
    </w:p>
    <w:p w14:paraId="7573AD17">
      <w:pPr>
        <w:tabs>
          <w:tab w:val="left" w:pos="6670"/>
        </w:tabs>
        <w:wordWrap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乙方（专业</w:t>
      </w:r>
      <w:r>
        <w:rPr>
          <w:rFonts w:hint="eastAsia" w:ascii="仿宋" w:hAnsi="仿宋" w:eastAsia="仿宋" w:cs="仿宋"/>
          <w:b/>
          <w:bCs/>
          <w:color w:val="auto"/>
          <w:sz w:val="24"/>
          <w:szCs w:val="24"/>
          <w:highlight w:val="none"/>
          <w:lang w:eastAsia="zh-CN"/>
        </w:rPr>
        <w:t>工程承包</w:t>
      </w:r>
      <w:r>
        <w:rPr>
          <w:rFonts w:hint="eastAsia" w:ascii="仿宋" w:hAnsi="仿宋" w:eastAsia="仿宋" w:cs="仿宋"/>
          <w:b/>
          <w:bCs/>
          <w:color w:val="auto"/>
          <w:sz w:val="24"/>
          <w:szCs w:val="24"/>
          <w:highlight w:val="none"/>
        </w:rPr>
        <w:t>人）：</w:t>
      </w:r>
      <w:r>
        <w:rPr>
          <w:rFonts w:hint="eastAsia" w:ascii="仿宋" w:hAnsi="仿宋" w:eastAsia="仿宋" w:cs="仿宋"/>
          <w:b/>
          <w:bCs/>
          <w:color w:val="auto"/>
          <w:sz w:val="24"/>
          <w:szCs w:val="24"/>
          <w:highlight w:val="none"/>
          <w:lang w:val="en-US" w:eastAsia="zh-CN"/>
        </w:rPr>
        <w:t>乌鲁木齐薪薪森林广告有限公司</w:t>
      </w:r>
    </w:p>
    <w:p w14:paraId="0D69F4C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依照《中华人民共和国民法典》、《中华人民共和国建筑法》及其它有关法律、行政法规，甲乙双方遵循平等、自愿、公平和诚实信用的原则，就</w:t>
      </w:r>
      <w:r>
        <w:rPr>
          <w:rFonts w:hint="eastAsia" w:ascii="仿宋" w:hAnsi="仿宋" w:eastAsia="仿宋" w:cs="仿宋"/>
          <w:color w:val="auto"/>
          <w:sz w:val="24"/>
          <w:szCs w:val="24"/>
          <w:highlight w:val="none"/>
          <w:u w:val="single"/>
          <w:lang w:eastAsia="zh-CN"/>
        </w:rPr>
        <w:t>元盛祥府</w:t>
      </w:r>
      <w:r>
        <w:rPr>
          <w:rFonts w:hint="eastAsia" w:ascii="仿宋" w:hAnsi="仿宋" w:eastAsia="仿宋" w:cs="仿宋"/>
          <w:color w:val="auto"/>
          <w:sz w:val="24"/>
          <w:szCs w:val="24"/>
          <w:highlight w:val="none"/>
          <w:u w:val="single"/>
          <w:lang w:val="en-US" w:eastAsia="zh-CN"/>
        </w:rPr>
        <w:t>物料</w:t>
      </w:r>
      <w:r>
        <w:rPr>
          <w:rFonts w:hint="eastAsia" w:ascii="仿宋" w:hAnsi="仿宋" w:eastAsia="仿宋" w:cs="仿宋"/>
          <w:color w:val="auto"/>
          <w:sz w:val="24"/>
          <w:szCs w:val="24"/>
          <w:highlight w:val="none"/>
          <w:u w:val="single"/>
          <w:lang w:eastAsia="zh-CN"/>
        </w:rPr>
        <w:t>制作及安装</w:t>
      </w:r>
      <w:r>
        <w:rPr>
          <w:rFonts w:hint="eastAsia" w:ascii="仿宋" w:hAnsi="仿宋" w:eastAsia="仿宋" w:cs="仿宋"/>
          <w:color w:val="auto"/>
          <w:sz w:val="24"/>
          <w:szCs w:val="24"/>
          <w:highlight w:val="none"/>
        </w:rPr>
        <w:t>施工</w:t>
      </w:r>
      <w:r>
        <w:rPr>
          <w:rFonts w:hint="eastAsia" w:ascii="仿宋" w:hAnsi="仿宋" w:eastAsia="仿宋" w:cs="仿宋"/>
          <w:color w:val="auto"/>
          <w:sz w:val="24"/>
          <w:szCs w:val="24"/>
          <w:highlight w:val="none"/>
          <w:lang w:val="en-US" w:eastAsia="zh-CN"/>
        </w:rPr>
        <w:t>承</w:t>
      </w:r>
      <w:r>
        <w:rPr>
          <w:rFonts w:hint="eastAsia" w:ascii="仿宋" w:hAnsi="仿宋" w:eastAsia="仿宋" w:cs="仿宋"/>
          <w:color w:val="auto"/>
          <w:sz w:val="24"/>
          <w:szCs w:val="24"/>
          <w:highlight w:val="none"/>
        </w:rPr>
        <w:t>包事项达成一致，特订立本合同。</w:t>
      </w:r>
    </w:p>
    <w:p w14:paraId="68259AA6">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一、工程概况</w:t>
      </w:r>
    </w:p>
    <w:p w14:paraId="2E6BFB2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工程名称：</w:t>
      </w:r>
      <w:r>
        <w:rPr>
          <w:rFonts w:hint="eastAsia" w:ascii="仿宋" w:hAnsi="仿宋" w:eastAsia="仿宋" w:cs="仿宋"/>
          <w:color w:val="auto"/>
          <w:sz w:val="24"/>
          <w:szCs w:val="24"/>
          <w:highlight w:val="none"/>
          <w:u w:val="single"/>
          <w:lang w:eastAsia="zh-CN"/>
        </w:rPr>
        <w:t>元盛祥府</w:t>
      </w:r>
      <w:r>
        <w:rPr>
          <w:rFonts w:hint="eastAsia" w:ascii="仿宋" w:hAnsi="仿宋" w:eastAsia="仿宋" w:cs="仿宋"/>
          <w:color w:val="auto"/>
          <w:sz w:val="24"/>
          <w:szCs w:val="24"/>
          <w:highlight w:val="none"/>
          <w:u w:val="single"/>
          <w:lang w:val="en-US" w:eastAsia="zh-CN"/>
        </w:rPr>
        <w:t>物料</w:t>
      </w:r>
      <w:r>
        <w:rPr>
          <w:rFonts w:hint="eastAsia" w:ascii="仿宋" w:hAnsi="仿宋" w:eastAsia="仿宋" w:cs="仿宋"/>
          <w:color w:val="auto"/>
          <w:sz w:val="24"/>
          <w:szCs w:val="24"/>
          <w:highlight w:val="none"/>
          <w:u w:val="single"/>
          <w:lang w:eastAsia="zh-CN"/>
        </w:rPr>
        <w:t>制作及安装</w:t>
      </w:r>
    </w:p>
    <w:p w14:paraId="17D5D1C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工程地点：</w:t>
      </w:r>
      <w:r>
        <w:rPr>
          <w:rFonts w:hint="eastAsia" w:ascii="仿宋" w:hAnsi="仿宋" w:eastAsia="仿宋" w:cs="仿宋"/>
          <w:color w:val="auto"/>
          <w:sz w:val="24"/>
          <w:szCs w:val="24"/>
          <w:highlight w:val="none"/>
          <w:u w:val="single"/>
          <w:lang w:eastAsia="zh-CN"/>
        </w:rPr>
        <w:t>元盛祥府小区</w:t>
      </w:r>
    </w:p>
    <w:p w14:paraId="3D367F0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工程结构类型：</w:t>
      </w:r>
      <w:r>
        <w:rPr>
          <w:rFonts w:hint="eastAsia" w:ascii="仿宋" w:hAnsi="仿宋" w:eastAsia="仿宋" w:cs="仿宋"/>
          <w:color w:val="auto"/>
          <w:sz w:val="24"/>
          <w:szCs w:val="24"/>
          <w:highlight w:val="none"/>
          <w:u w:val="single"/>
          <w:lang w:val="en-US" w:eastAsia="zh-CN"/>
        </w:rPr>
        <w:t>/</w:t>
      </w:r>
    </w:p>
    <w:p w14:paraId="7235AB18">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w:t>
      </w:r>
      <w:r>
        <w:rPr>
          <w:rFonts w:hint="eastAsia" w:ascii="仿宋" w:hAnsi="仿宋" w:eastAsia="仿宋" w:cs="仿宋"/>
          <w:b/>
          <w:bCs/>
          <w:color w:val="auto"/>
          <w:sz w:val="24"/>
          <w:szCs w:val="24"/>
          <w:highlight w:val="none"/>
          <w:lang w:eastAsia="zh-CN"/>
        </w:rPr>
        <w:t>工程承包</w:t>
      </w:r>
      <w:r>
        <w:rPr>
          <w:rFonts w:hint="eastAsia" w:ascii="仿宋" w:hAnsi="仿宋" w:eastAsia="仿宋" w:cs="仿宋"/>
          <w:b/>
          <w:bCs/>
          <w:color w:val="auto"/>
          <w:sz w:val="24"/>
          <w:szCs w:val="24"/>
          <w:highlight w:val="none"/>
        </w:rPr>
        <w:t>范围和内容：</w:t>
      </w:r>
    </w:p>
    <w:p w14:paraId="752B2C5B">
      <w:pPr>
        <w:wordWrap w:val="0"/>
        <w:spacing w:line="360" w:lineRule="auto"/>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1、本合同后附的工程量清单与效果图中的全部内容。</w:t>
      </w:r>
    </w:p>
    <w:p w14:paraId="6C11B76D">
      <w:pPr>
        <w:wordWrap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u w:val="single"/>
          <w:lang w:val="en-US" w:eastAsia="zh-CN"/>
        </w:rPr>
        <w:t>2、中标单位需自行现场查勘，了解已施工完成的原基础预留预埋情况，确保本合同发光字可使用已施工完成的原基础。</w:t>
      </w:r>
    </w:p>
    <w:p w14:paraId="7E9AF512">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三、工程施工</w:t>
      </w:r>
      <w:bookmarkStart w:id="0" w:name="OLE_LINK5"/>
      <w:r>
        <w:rPr>
          <w:rFonts w:hint="eastAsia" w:ascii="仿宋" w:hAnsi="仿宋" w:eastAsia="仿宋" w:cs="仿宋"/>
          <w:b/>
          <w:bCs/>
          <w:color w:val="auto"/>
          <w:sz w:val="24"/>
          <w:szCs w:val="24"/>
          <w:highlight w:val="none"/>
        </w:rPr>
        <w:t>工期</w:t>
      </w:r>
      <w:bookmarkEnd w:id="0"/>
    </w:p>
    <w:p w14:paraId="55D039D4">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元盛祥府</w:t>
      </w:r>
      <w:r>
        <w:rPr>
          <w:rFonts w:hint="eastAsia" w:ascii="仿宋" w:hAnsi="仿宋" w:eastAsia="仿宋" w:cs="仿宋"/>
          <w:color w:val="auto"/>
          <w:sz w:val="24"/>
          <w:szCs w:val="24"/>
          <w:highlight w:val="none"/>
          <w:lang w:val="en-US" w:eastAsia="zh-CN"/>
        </w:rPr>
        <w:t>物料</w:t>
      </w:r>
      <w:r>
        <w:rPr>
          <w:rFonts w:hint="eastAsia" w:ascii="仿宋" w:hAnsi="仿宋" w:eastAsia="仿宋" w:cs="仿宋"/>
          <w:color w:val="auto"/>
          <w:sz w:val="24"/>
          <w:szCs w:val="24"/>
          <w:highlight w:val="none"/>
          <w:lang w:eastAsia="zh-CN"/>
        </w:rPr>
        <w:t>制作及安装计划自</w:t>
      </w:r>
      <w:r>
        <w:rPr>
          <w:rFonts w:hint="eastAsia" w:ascii="仿宋" w:hAnsi="仿宋" w:eastAsia="仿宋" w:cs="仿宋"/>
          <w:color w:val="auto"/>
          <w:sz w:val="24"/>
          <w:szCs w:val="24"/>
          <w:highlight w:val="none"/>
          <w:u w:val="single"/>
          <w:lang w:eastAsia="zh-CN"/>
        </w:rPr>
        <w:t>202</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none"/>
          <w:lang w:eastAsia="zh-CN"/>
        </w:rPr>
        <w:t>年</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none"/>
          <w:lang w:eastAsia="zh-CN"/>
        </w:rPr>
        <w:t>月</w:t>
      </w:r>
      <w:r>
        <w:rPr>
          <w:rFonts w:hint="eastAsia" w:ascii="仿宋" w:hAnsi="仿宋" w:eastAsia="仿宋" w:cs="仿宋"/>
          <w:color w:val="auto"/>
          <w:sz w:val="24"/>
          <w:szCs w:val="24"/>
          <w:highlight w:val="none"/>
          <w:u w:val="single"/>
          <w:lang w:val="en-US" w:eastAsia="zh-CN"/>
        </w:rPr>
        <w:t>5</w:t>
      </w:r>
      <w:r>
        <w:rPr>
          <w:rFonts w:hint="eastAsia" w:ascii="仿宋" w:hAnsi="仿宋" w:eastAsia="仿宋" w:cs="仿宋"/>
          <w:color w:val="auto"/>
          <w:sz w:val="24"/>
          <w:szCs w:val="24"/>
          <w:highlight w:val="none"/>
          <w:u w:val="none"/>
          <w:lang w:eastAsia="zh-CN"/>
        </w:rPr>
        <w:t>日</w:t>
      </w:r>
      <w:r>
        <w:rPr>
          <w:rFonts w:hint="eastAsia" w:ascii="仿宋" w:hAnsi="仿宋" w:eastAsia="仿宋" w:cs="仿宋"/>
          <w:color w:val="auto"/>
          <w:sz w:val="24"/>
          <w:szCs w:val="24"/>
          <w:highlight w:val="none"/>
          <w:lang w:eastAsia="zh-CN"/>
        </w:rPr>
        <w:t>开工至</w:t>
      </w:r>
      <w:r>
        <w:rPr>
          <w:rFonts w:hint="eastAsia" w:ascii="仿宋" w:hAnsi="仿宋" w:eastAsia="仿宋" w:cs="仿宋"/>
          <w:color w:val="auto"/>
          <w:sz w:val="24"/>
          <w:szCs w:val="24"/>
          <w:highlight w:val="none"/>
          <w:u w:val="single"/>
          <w:lang w:eastAsia="zh-CN"/>
        </w:rPr>
        <w:t>202</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none"/>
          <w:lang w:eastAsia="zh-CN"/>
        </w:rPr>
        <w:t>年</w:t>
      </w:r>
      <w:r>
        <w:rPr>
          <w:rFonts w:hint="eastAsia" w:ascii="仿宋" w:hAnsi="仿宋" w:eastAsia="仿宋" w:cs="仿宋"/>
          <w:color w:val="auto"/>
          <w:sz w:val="24"/>
          <w:szCs w:val="24"/>
          <w:highlight w:val="none"/>
          <w:u w:val="none"/>
          <w:lang w:val="en-US" w:eastAsia="zh-CN"/>
        </w:rPr>
        <w:t>3</w:t>
      </w:r>
      <w:r>
        <w:rPr>
          <w:rFonts w:hint="eastAsia" w:ascii="仿宋" w:hAnsi="仿宋" w:eastAsia="仿宋" w:cs="仿宋"/>
          <w:color w:val="auto"/>
          <w:sz w:val="24"/>
          <w:szCs w:val="24"/>
          <w:highlight w:val="none"/>
          <w:u w:val="none"/>
          <w:lang w:eastAsia="zh-CN"/>
        </w:rPr>
        <w:t>月</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u w:val="none"/>
          <w:lang w:eastAsia="zh-CN"/>
        </w:rPr>
        <w:t>日</w:t>
      </w:r>
      <w:r>
        <w:rPr>
          <w:rFonts w:hint="eastAsia" w:ascii="仿宋" w:hAnsi="仿宋" w:eastAsia="仿宋" w:cs="仿宋"/>
          <w:color w:val="auto"/>
          <w:sz w:val="24"/>
          <w:szCs w:val="24"/>
          <w:highlight w:val="none"/>
          <w:lang w:eastAsia="zh-CN"/>
        </w:rPr>
        <w:t>完工，计划总工期为</w:t>
      </w:r>
      <w:r>
        <w:rPr>
          <w:rFonts w:hint="eastAsia" w:ascii="仿宋" w:hAnsi="仿宋" w:eastAsia="仿宋" w:cs="仿宋"/>
          <w:color w:val="auto"/>
          <w:sz w:val="24"/>
          <w:szCs w:val="24"/>
          <w:highlight w:val="none"/>
          <w:u w:val="single"/>
          <w:lang w:val="en-US" w:eastAsia="zh-CN"/>
        </w:rPr>
        <w:t>4</w:t>
      </w:r>
      <w:r>
        <w:rPr>
          <w:rFonts w:hint="eastAsia" w:ascii="仿宋" w:hAnsi="仿宋" w:eastAsia="仿宋" w:cs="仿宋"/>
          <w:color w:val="auto"/>
          <w:sz w:val="24"/>
          <w:szCs w:val="24"/>
          <w:highlight w:val="none"/>
          <w:lang w:eastAsia="zh-CN"/>
        </w:rPr>
        <w:t>天，</w:t>
      </w:r>
      <w:r>
        <w:rPr>
          <w:rFonts w:hint="eastAsia" w:ascii="仿宋" w:hAnsi="仿宋" w:eastAsia="仿宋" w:cs="仿宋"/>
          <w:color w:val="auto"/>
          <w:sz w:val="24"/>
          <w:szCs w:val="24"/>
          <w:highlight w:val="none"/>
          <w:lang w:val="en-US" w:eastAsia="zh-CN"/>
        </w:rPr>
        <w:t>其中</w:t>
      </w:r>
      <w:r>
        <w:rPr>
          <w:rFonts w:hint="eastAsia" w:ascii="仿宋" w:hAnsi="仿宋" w:eastAsia="仿宋" w:cs="仿宋"/>
          <w:color w:val="auto"/>
          <w:sz w:val="24"/>
          <w:szCs w:val="24"/>
          <w:highlight w:val="none"/>
          <w:lang w:eastAsia="zh-CN"/>
        </w:rPr>
        <w:t>具体开工日期根据现场实际情况由甲方另行确定，但总工期不得超过</w:t>
      </w:r>
      <w:r>
        <w:rPr>
          <w:rFonts w:hint="eastAsia" w:ascii="仿宋" w:hAnsi="仿宋" w:eastAsia="仿宋" w:cs="仿宋"/>
          <w:color w:val="auto"/>
          <w:sz w:val="24"/>
          <w:szCs w:val="24"/>
          <w:highlight w:val="none"/>
          <w:u w:val="single"/>
          <w:lang w:val="en-US" w:eastAsia="zh-CN"/>
        </w:rPr>
        <w:t>4</w:t>
      </w:r>
      <w:r>
        <w:rPr>
          <w:rFonts w:hint="eastAsia" w:ascii="仿宋" w:hAnsi="仿宋" w:eastAsia="仿宋" w:cs="仿宋"/>
          <w:color w:val="auto"/>
          <w:sz w:val="24"/>
          <w:szCs w:val="24"/>
          <w:highlight w:val="none"/>
          <w:lang w:eastAsia="zh-CN"/>
        </w:rPr>
        <w:t>天；</w:t>
      </w:r>
      <w:r>
        <w:rPr>
          <w:rFonts w:hint="eastAsia" w:ascii="仿宋" w:hAnsi="仿宋" w:eastAsia="仿宋" w:cs="仿宋"/>
          <w:color w:val="auto"/>
          <w:sz w:val="24"/>
          <w:szCs w:val="24"/>
          <w:highlight w:val="none"/>
        </w:rPr>
        <w:t>如有调整按照甲方通知的时间进场施工。执行甲方项目部每月、每周、日下达的进度要求施工，并严格按进度要求执行。</w:t>
      </w:r>
    </w:p>
    <w:p w14:paraId="2B384D1A">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w:t>
      </w:r>
      <w:r>
        <w:rPr>
          <w:rFonts w:hint="eastAsia" w:ascii="仿宋" w:hAnsi="仿宋" w:eastAsia="仿宋" w:cs="仿宋"/>
          <w:b/>
          <w:bCs/>
          <w:color w:val="auto"/>
          <w:sz w:val="24"/>
          <w:szCs w:val="24"/>
          <w:highlight w:val="none"/>
          <w:lang w:eastAsia="zh-CN"/>
        </w:rPr>
        <w:t>工程承包</w:t>
      </w:r>
      <w:r>
        <w:rPr>
          <w:rFonts w:hint="eastAsia" w:ascii="仿宋" w:hAnsi="仿宋" w:eastAsia="仿宋" w:cs="仿宋"/>
          <w:b/>
          <w:bCs/>
          <w:color w:val="auto"/>
          <w:sz w:val="24"/>
          <w:szCs w:val="24"/>
          <w:highlight w:val="none"/>
        </w:rPr>
        <w:t>方式和合同定价方式</w:t>
      </w:r>
    </w:p>
    <w:p w14:paraId="03BE2521">
      <w:pPr>
        <w:wordWrap w:val="0"/>
        <w:spacing w:line="360" w:lineRule="auto"/>
        <w:ind w:firstLine="480" w:firstLineChars="200"/>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乙方以包工包料、</w:t>
      </w:r>
      <w:r>
        <w:rPr>
          <w:rFonts w:hint="eastAsia" w:ascii="仿宋" w:hAnsi="仿宋" w:eastAsia="仿宋" w:cs="仿宋"/>
          <w:color w:val="auto"/>
          <w:sz w:val="24"/>
          <w:szCs w:val="24"/>
          <w:highlight w:val="none"/>
          <w:u w:val="none"/>
          <w:lang w:val="en-US" w:eastAsia="zh-CN"/>
        </w:rPr>
        <w:t>总价</w:t>
      </w:r>
      <w:r>
        <w:rPr>
          <w:rFonts w:hint="eastAsia" w:ascii="仿宋" w:hAnsi="仿宋" w:eastAsia="仿宋" w:cs="仿宋"/>
          <w:color w:val="auto"/>
          <w:sz w:val="24"/>
          <w:szCs w:val="24"/>
          <w:highlight w:val="none"/>
          <w:u w:val="none"/>
        </w:rPr>
        <w:t>包干方式从甲方</w:t>
      </w:r>
      <w:r>
        <w:rPr>
          <w:rFonts w:hint="eastAsia" w:ascii="仿宋" w:hAnsi="仿宋" w:eastAsia="仿宋" w:cs="仿宋"/>
          <w:color w:val="auto"/>
          <w:sz w:val="24"/>
          <w:szCs w:val="24"/>
          <w:highlight w:val="none"/>
          <w:u w:val="none"/>
          <w:lang w:val="en-US" w:eastAsia="zh-CN"/>
        </w:rPr>
        <w:t>承</w:t>
      </w:r>
      <w:r>
        <w:rPr>
          <w:rFonts w:hint="eastAsia" w:ascii="仿宋" w:hAnsi="仿宋" w:eastAsia="仿宋" w:cs="仿宋"/>
          <w:color w:val="auto"/>
          <w:sz w:val="24"/>
          <w:szCs w:val="24"/>
          <w:highlight w:val="none"/>
          <w:u w:val="none"/>
        </w:rPr>
        <w:t>包本工程。</w:t>
      </w:r>
      <w:r>
        <w:rPr>
          <w:rFonts w:hint="eastAsia" w:ascii="仿宋" w:hAnsi="仿宋" w:eastAsia="仿宋" w:cs="仿宋"/>
          <w:b/>
          <w:bCs/>
          <w:color w:val="auto"/>
          <w:sz w:val="24"/>
          <w:szCs w:val="24"/>
          <w:highlight w:val="none"/>
          <w:u w:val="none"/>
        </w:rPr>
        <w:t>本合同为</w:t>
      </w:r>
      <w:r>
        <w:rPr>
          <w:rFonts w:hint="eastAsia" w:ascii="仿宋" w:hAnsi="仿宋" w:eastAsia="仿宋" w:cs="仿宋"/>
          <w:b/>
          <w:bCs/>
          <w:color w:val="auto"/>
          <w:sz w:val="24"/>
          <w:szCs w:val="24"/>
          <w:highlight w:val="none"/>
          <w:u w:val="none"/>
          <w:lang w:eastAsia="zh-CN"/>
        </w:rPr>
        <w:t>固定总价包干</w:t>
      </w:r>
      <w:r>
        <w:rPr>
          <w:rFonts w:hint="eastAsia" w:ascii="仿宋" w:hAnsi="仿宋" w:eastAsia="仿宋" w:cs="仿宋"/>
          <w:b/>
          <w:bCs/>
          <w:color w:val="auto"/>
          <w:sz w:val="24"/>
          <w:szCs w:val="24"/>
          <w:highlight w:val="none"/>
          <w:u w:val="none"/>
        </w:rPr>
        <w:t>合同</w:t>
      </w:r>
      <w:r>
        <w:rPr>
          <w:rFonts w:hint="eastAsia" w:ascii="仿宋" w:hAnsi="仿宋" w:eastAsia="仿宋" w:cs="仿宋"/>
          <w:color w:val="auto"/>
          <w:sz w:val="24"/>
          <w:szCs w:val="24"/>
          <w:highlight w:val="none"/>
          <w:u w:val="none"/>
        </w:rPr>
        <w:t>，本合同约定的</w:t>
      </w:r>
      <w:r>
        <w:rPr>
          <w:rFonts w:hint="eastAsia" w:ascii="仿宋" w:hAnsi="仿宋" w:eastAsia="仿宋" w:cs="仿宋"/>
          <w:color w:val="auto"/>
          <w:sz w:val="24"/>
          <w:szCs w:val="24"/>
          <w:highlight w:val="none"/>
          <w:u w:val="none"/>
          <w:lang w:val="en-US" w:eastAsia="zh-CN"/>
        </w:rPr>
        <w:t>总价</w:t>
      </w:r>
      <w:r>
        <w:rPr>
          <w:rFonts w:hint="eastAsia" w:ascii="仿宋" w:hAnsi="仿宋" w:eastAsia="仿宋" w:cs="仿宋"/>
          <w:color w:val="auto"/>
          <w:sz w:val="24"/>
          <w:szCs w:val="24"/>
          <w:highlight w:val="none"/>
          <w:u w:val="none"/>
        </w:rPr>
        <w:t>包含但不限于施工所需全部人工费、材料费、机械费、措施费、配合费、管理费、税金等全部费用。</w:t>
      </w:r>
    </w:p>
    <w:p w14:paraId="550779E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none"/>
          <w:lang w:eastAsia="zh-CN"/>
        </w:rPr>
        <w:t>固定总价包干</w:t>
      </w:r>
      <w:r>
        <w:rPr>
          <w:rFonts w:hint="eastAsia" w:ascii="仿宋" w:hAnsi="仿宋" w:eastAsia="仿宋" w:cs="仿宋"/>
          <w:color w:val="auto"/>
          <w:sz w:val="24"/>
          <w:szCs w:val="24"/>
          <w:highlight w:val="none"/>
          <w:u w:val="none"/>
        </w:rPr>
        <w:t>合同，即为固定不变价格，甲乙双方均不得随意调整。如需调整需另行签订补充协议约定。</w:t>
      </w:r>
    </w:p>
    <w:p w14:paraId="56B765A9">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五、合同价款和结算约定</w:t>
      </w:r>
    </w:p>
    <w:p w14:paraId="272F9A51">
      <w:pPr>
        <w:wordWrap w:val="0"/>
        <w:spacing w:line="360" w:lineRule="auto"/>
        <w:ind w:firstLine="480" w:firstLineChars="200"/>
        <w:rPr>
          <w:rFonts w:hint="eastAsia" w:ascii="仿宋" w:hAnsi="仿宋" w:eastAsia="仿宋" w:cs="仿宋"/>
          <w:color w:val="auto"/>
          <w:sz w:val="24"/>
          <w:szCs w:val="24"/>
          <w:highlight w:val="none"/>
          <w:lang w:eastAsia="zh-CN" w:bidi="ar"/>
        </w:rPr>
      </w:pPr>
      <w:r>
        <w:rPr>
          <w:rFonts w:hint="eastAsia" w:ascii="仿宋" w:hAnsi="仿宋" w:eastAsia="仿宋" w:cs="仿宋"/>
          <w:color w:val="auto"/>
          <w:sz w:val="24"/>
          <w:szCs w:val="24"/>
          <w:highlight w:val="none"/>
        </w:rPr>
        <w:t>1、本合同不含税合同金额为￥：</w:t>
      </w:r>
      <w:r>
        <w:rPr>
          <w:rFonts w:hint="eastAsia" w:ascii="仿宋" w:hAnsi="仿宋" w:eastAsia="仿宋" w:cs="仿宋"/>
          <w:color w:val="auto"/>
          <w:sz w:val="24"/>
          <w:szCs w:val="24"/>
          <w:highlight w:val="none"/>
          <w:u w:val="single"/>
          <w:lang w:val="en-US" w:eastAsia="zh-CN"/>
        </w:rPr>
        <w:t>26158.92</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贰万陆仟壹佰伍拾捌元玖角贰分</w:t>
      </w:r>
      <w:r>
        <w:rPr>
          <w:rFonts w:hint="eastAsia" w:ascii="仿宋" w:hAnsi="仿宋" w:eastAsia="仿宋" w:cs="仿宋"/>
          <w:color w:val="auto"/>
          <w:sz w:val="24"/>
          <w:szCs w:val="24"/>
          <w:highlight w:val="none"/>
        </w:rPr>
        <w:t>），增值税金额为￥：</w:t>
      </w:r>
      <w:r>
        <w:rPr>
          <w:rFonts w:hint="eastAsia" w:ascii="仿宋" w:hAnsi="仿宋" w:eastAsia="仿宋" w:cs="仿宋"/>
          <w:color w:val="auto"/>
          <w:sz w:val="24"/>
          <w:szCs w:val="24"/>
          <w:highlight w:val="none"/>
          <w:u w:val="single"/>
          <w:lang w:val="en-US" w:eastAsia="zh-CN"/>
        </w:rPr>
        <w:t>1569.53</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壹仟伍佰陆拾玖元伍角叁分</w:t>
      </w:r>
      <w:r>
        <w:rPr>
          <w:rFonts w:hint="eastAsia" w:ascii="仿宋" w:hAnsi="仿宋" w:eastAsia="仿宋" w:cs="仿宋"/>
          <w:color w:val="auto"/>
          <w:sz w:val="24"/>
          <w:szCs w:val="24"/>
          <w:highlight w:val="none"/>
        </w:rPr>
        <w:t>），价税合计金额为￥：</w:t>
      </w:r>
      <w:r>
        <w:rPr>
          <w:rFonts w:hint="eastAsia" w:ascii="仿宋" w:hAnsi="仿宋" w:eastAsia="仿宋" w:cs="仿宋"/>
          <w:color w:val="auto"/>
          <w:sz w:val="24"/>
          <w:szCs w:val="24"/>
          <w:highlight w:val="none"/>
          <w:u w:val="single"/>
          <w:lang w:val="en-US" w:eastAsia="zh-CN"/>
        </w:rPr>
        <w:t>27728.45</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贰万柒仟柒佰贰拾捌元肆角伍分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none"/>
        </w:rPr>
        <w:t>该合同金额价格形式为固定总价包干</w:t>
      </w:r>
      <w:r>
        <w:rPr>
          <w:rFonts w:hint="eastAsia" w:ascii="仿宋" w:hAnsi="仿宋" w:eastAsia="仿宋" w:cs="仿宋"/>
          <w:color w:val="auto"/>
          <w:sz w:val="24"/>
          <w:szCs w:val="24"/>
          <w:highlight w:val="none"/>
          <w:u w:val="none"/>
          <w:lang w:eastAsia="zh-CN"/>
        </w:rPr>
        <w:t>。</w:t>
      </w:r>
    </w:p>
    <w:p w14:paraId="12774D67">
      <w:pPr>
        <w:wordWrap w:val="0"/>
        <w:spacing w:line="360" w:lineRule="auto"/>
        <w:ind w:firstLine="480" w:firstLineChars="200"/>
        <w:rPr>
          <w:rFonts w:hint="eastAsia" w:ascii="仿宋" w:hAnsi="仿宋" w:eastAsia="仿宋" w:cs="仿宋"/>
          <w:color w:val="auto"/>
          <w:sz w:val="24"/>
          <w:szCs w:val="24"/>
          <w:highlight w:val="none"/>
          <w:lang w:eastAsia="zh-CN" w:bidi="ar"/>
        </w:rPr>
      </w:pPr>
      <w:r>
        <w:rPr>
          <w:rFonts w:hint="eastAsia" w:ascii="仿宋" w:hAnsi="仿宋" w:eastAsia="仿宋" w:cs="仿宋"/>
          <w:color w:val="auto"/>
          <w:sz w:val="24"/>
          <w:szCs w:val="24"/>
          <w:highlight w:val="none"/>
          <w:lang w:eastAsia="zh-CN" w:bidi="ar"/>
        </w:rPr>
        <w:t>2、承包单项名称、工作量、结算单价、总价、分项施工内容描述：</w:t>
      </w:r>
    </w:p>
    <w:p w14:paraId="3261E73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bidi="ar"/>
        </w:rPr>
      </w:pPr>
      <w:r>
        <w:rPr>
          <w:rFonts w:hint="eastAsia" w:ascii="仿宋" w:hAnsi="仿宋" w:eastAsia="仿宋" w:cs="仿宋"/>
          <w:color w:val="auto"/>
          <w:sz w:val="24"/>
          <w:szCs w:val="24"/>
          <w:highlight w:val="none"/>
          <w:lang w:val="en-US" w:eastAsia="zh-CN" w:bidi="ar"/>
        </w:rPr>
        <w:t>结算总价说明：以上价格为固定总价，即为固定不变价格。如不发生重大变更此价不再调整。此价格包含了劳务的人工费、全部材料费、机具用具费、检测费、垂直和水平运输费、劳动保护费、劳务公司管理费、安全风险金、利润、规费、税金等为完成本项目所产生的所有费用。</w:t>
      </w:r>
    </w:p>
    <w:p w14:paraId="71FCBBB5">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六、工程质量标准及要求</w:t>
      </w:r>
    </w:p>
    <w:p w14:paraId="5F74B8D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本工程质量</w:t>
      </w:r>
      <w:r>
        <w:rPr>
          <w:rFonts w:hint="eastAsia" w:ascii="仿宋" w:hAnsi="仿宋" w:eastAsia="仿宋" w:cs="宋体"/>
          <w:color w:val="auto"/>
          <w:sz w:val="24"/>
          <w:szCs w:val="24"/>
          <w:highlight w:val="none"/>
        </w:rPr>
        <w:t>按照</w:t>
      </w:r>
      <w:r>
        <w:rPr>
          <w:rFonts w:hint="eastAsia" w:ascii="仿宋" w:hAnsi="仿宋" w:eastAsia="仿宋" w:cs="Arial"/>
          <w:color w:val="auto"/>
          <w:kern w:val="0"/>
          <w:sz w:val="24"/>
          <w:szCs w:val="24"/>
          <w:highlight w:val="none"/>
          <w:u w:val="single"/>
          <w:lang w:val="en-US" w:eastAsia="zh-CN"/>
        </w:rPr>
        <w:t>国家相关质量验收标准和施工技术规范</w:t>
      </w:r>
      <w:r>
        <w:rPr>
          <w:rFonts w:hint="eastAsia" w:ascii="仿宋" w:hAnsi="仿宋" w:eastAsia="仿宋" w:cs="Arial"/>
          <w:color w:val="auto"/>
          <w:kern w:val="0"/>
          <w:sz w:val="24"/>
          <w:szCs w:val="24"/>
          <w:highlight w:val="none"/>
          <w:lang w:val="en-US" w:eastAsia="zh-CN"/>
        </w:rPr>
        <w:t>、以及本工程设计图纸</w:t>
      </w:r>
      <w:r>
        <w:rPr>
          <w:rFonts w:hint="eastAsia" w:ascii="仿宋" w:hAnsi="仿宋" w:eastAsia="仿宋" w:cs="仿宋"/>
          <w:color w:val="auto"/>
          <w:sz w:val="24"/>
          <w:szCs w:val="24"/>
          <w:highlight w:val="none"/>
        </w:rPr>
        <w:t>和建设方</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相关质量要求</w:t>
      </w:r>
      <w:r>
        <w:rPr>
          <w:rFonts w:hint="eastAsia" w:ascii="仿宋" w:hAnsi="仿宋" w:eastAsia="仿宋" w:cs="宋体"/>
          <w:color w:val="auto"/>
          <w:sz w:val="24"/>
          <w:szCs w:val="24"/>
          <w:highlight w:val="none"/>
        </w:rPr>
        <w:t>执行</w:t>
      </w:r>
      <w:r>
        <w:rPr>
          <w:rFonts w:hint="eastAsia" w:ascii="仿宋" w:hAnsi="仿宋" w:eastAsia="仿宋" w:cs="仿宋"/>
          <w:color w:val="auto"/>
          <w:sz w:val="24"/>
          <w:szCs w:val="24"/>
          <w:highlight w:val="none"/>
        </w:rPr>
        <w:t>。</w:t>
      </w:r>
    </w:p>
    <w:p w14:paraId="63B3D60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u w:val="none"/>
          <w:lang w:eastAsia="zh-CN"/>
        </w:rPr>
      </w:pPr>
      <w:r>
        <w:rPr>
          <w:rFonts w:hint="eastAsia" w:ascii="仿宋" w:hAnsi="仿宋" w:eastAsia="仿宋" w:cs="仿宋"/>
          <w:color w:val="auto"/>
          <w:sz w:val="24"/>
          <w:szCs w:val="24"/>
          <w:highlight w:val="none"/>
        </w:rPr>
        <w:t>2、本工程质量标准双方约定为：</w:t>
      </w:r>
      <w:r>
        <w:rPr>
          <w:rFonts w:hint="eastAsia" w:ascii="仿宋" w:hAnsi="仿宋" w:eastAsia="仿宋" w:cs="仿宋"/>
          <w:color w:val="auto"/>
          <w:sz w:val="24"/>
          <w:szCs w:val="24"/>
          <w:highlight w:val="none"/>
          <w:u w:val="single"/>
        </w:rPr>
        <w:t>合格</w:t>
      </w:r>
      <w:r>
        <w:rPr>
          <w:rFonts w:hint="eastAsia" w:ascii="仿宋" w:hAnsi="仿宋" w:eastAsia="仿宋" w:cs="仿宋"/>
          <w:color w:val="auto"/>
          <w:sz w:val="24"/>
          <w:szCs w:val="24"/>
          <w:highlight w:val="none"/>
          <w:u w:val="none"/>
        </w:rPr>
        <w:t>。</w:t>
      </w:r>
    </w:p>
    <w:p w14:paraId="6B706AAE">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七、合同款的支付</w:t>
      </w:r>
    </w:p>
    <w:p w14:paraId="560A0502">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1、所有款项的结算支付须根据建设方拨付工程款到账的比例及乙方已完成工程量的合格情况由甲方进行确定。</w:t>
      </w:r>
    </w:p>
    <w:p w14:paraId="71D52FE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2、乙方违反甲方对工程管理的规定受到处罚的，甲方结算时从应支付乙方的款项中扣除。</w:t>
      </w:r>
    </w:p>
    <w:p w14:paraId="0CC19B9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3、根据乙方完成施工进度及甲方等验收合格情况确定付款比例如下：</w:t>
      </w:r>
    </w:p>
    <w:p w14:paraId="2B5E5DDB">
      <w:pPr>
        <w:wordWrap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（1）乙方按照合同后全部制作完成，经甲方验收合格后</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甲方支付合同总价的</w:t>
      </w:r>
      <w:r>
        <w:rPr>
          <w:rFonts w:hint="eastAsia" w:ascii="仿宋" w:hAnsi="仿宋" w:eastAsia="仿宋" w:cs="仿宋"/>
          <w:color w:val="auto"/>
          <w:sz w:val="24"/>
          <w:szCs w:val="24"/>
          <w:highlight w:val="none"/>
          <w:lang w:val="en-US" w:eastAsia="zh-CN"/>
        </w:rPr>
        <w:t>100</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p>
    <w:p w14:paraId="5258302F">
      <w:pPr>
        <w:wordWrap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乙方按照合同后附清单的货物全部到场（货物由乙方自行选择运输方式，送货到甲方指定工地现场，运输及保险费用由乙方负担，货物经双方验收合格交付甲方前，货物相关全部风险由乙方承担），</w:t>
      </w:r>
    </w:p>
    <w:p w14:paraId="1F60EFA7">
      <w:pPr>
        <w:numPr>
          <w:ilvl w:val="0"/>
          <w:numId w:val="0"/>
        </w:numPr>
        <w:wordWrap w:val="0"/>
        <w:spacing w:line="360" w:lineRule="auto"/>
        <w:ind w:firstLine="480" w:firstLineChars="200"/>
        <w:rPr>
          <w:rFonts w:hint="eastAsia" w:ascii="仿宋" w:hAnsi="仿宋" w:eastAsia="仿宋" w:cs="仿宋"/>
          <w:color w:val="auto"/>
          <w:sz w:val="24"/>
          <w:szCs w:val="24"/>
          <w:highlight w:val="none"/>
          <w:u w:val="none"/>
          <w:lang w:eastAsia="zh-CN"/>
        </w:rPr>
      </w:pPr>
    </w:p>
    <w:p w14:paraId="1FAF341C">
      <w:pPr>
        <w:numPr>
          <w:ilvl w:val="0"/>
          <w:numId w:val="0"/>
        </w:num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）甲方付款前5日内乙方应交付甲方增值税</w:t>
      </w:r>
      <w:r>
        <w:rPr>
          <w:rFonts w:hint="eastAsia" w:ascii="仿宋" w:hAnsi="仿宋" w:eastAsia="仿宋" w:cs="仿宋"/>
          <w:color w:val="auto"/>
          <w:sz w:val="24"/>
          <w:szCs w:val="24"/>
          <w:highlight w:val="none"/>
          <w:u w:val="single"/>
        </w:rPr>
        <w:t>专用</w:t>
      </w:r>
      <w:r>
        <w:rPr>
          <w:rFonts w:hint="eastAsia" w:ascii="仿宋" w:hAnsi="仿宋" w:eastAsia="仿宋" w:cs="仿宋"/>
          <w:color w:val="auto"/>
          <w:sz w:val="24"/>
          <w:szCs w:val="24"/>
          <w:highlight w:val="none"/>
        </w:rPr>
        <w:t>发票，税率</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rPr>
        <w:t>%。乙方逾期交付的，甲方可以相应顺延支付款项。</w:t>
      </w:r>
    </w:p>
    <w:p w14:paraId="64C9C11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4、乙方对于发票的真实性和合法性负责，若因乙方发票不合格、不合规产生的任何后果均由乙方自行承担。给甲方带来损害的依法承担相应赔偿责任。</w:t>
      </w:r>
    </w:p>
    <w:p w14:paraId="08EA208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工程款中乙方工程队人员工资由乙方统一核算，报甲方项目部项目经理、技术负责、施工队长、预算员、保管审核签字确认，后经甲方审定的合格工程量进行结算，并由乙方出具人员名单经甲方项目部核实后统一由甲方发放，发放的同时由乙方书面签收。</w:t>
      </w:r>
    </w:p>
    <w:p w14:paraId="3565498A">
      <w:pPr>
        <w:wordWrap w:val="0"/>
        <w:spacing w:line="360" w:lineRule="auto"/>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6、甲方每次发放劳务费前，按乙方提供的劳务费名单进行发放。如有假名情况，每次扣除不少于2000元的违约金。如没有上报甲方人员名单，甲方不予支付人工工资，所造成的后果由乙方自行承担。</w:t>
      </w:r>
    </w:p>
    <w:p w14:paraId="71D335B2">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八 、专业</w:t>
      </w:r>
      <w:r>
        <w:rPr>
          <w:rFonts w:hint="eastAsia" w:ascii="仿宋" w:hAnsi="仿宋" w:eastAsia="仿宋" w:cs="仿宋"/>
          <w:b/>
          <w:color w:val="auto"/>
          <w:sz w:val="24"/>
          <w:szCs w:val="24"/>
          <w:highlight w:val="none"/>
          <w:lang w:val="en-US" w:eastAsia="zh-CN"/>
        </w:rPr>
        <w:t>承</w:t>
      </w:r>
      <w:r>
        <w:rPr>
          <w:rFonts w:hint="eastAsia" w:ascii="仿宋" w:hAnsi="仿宋" w:eastAsia="仿宋" w:cs="仿宋"/>
          <w:b/>
          <w:color w:val="auto"/>
          <w:sz w:val="24"/>
          <w:szCs w:val="24"/>
          <w:highlight w:val="none"/>
        </w:rPr>
        <w:t>包工程的验收</w:t>
      </w:r>
    </w:p>
    <w:p w14:paraId="463948B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1、工程质量验收必须以合同第四条工程质量标准及要求为依据，以国家建筑工程质量验收统一规范为依据。</w:t>
      </w:r>
    </w:p>
    <w:p w14:paraId="5190AD5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2、施工过程严格按施工规范以及技术交底进行。</w:t>
      </w:r>
    </w:p>
    <w:p w14:paraId="3AA93DD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3、乙方工程质量标准以甲方工程部门评审结论为依据。</w:t>
      </w:r>
    </w:p>
    <w:p w14:paraId="7F5B6CCB">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4、工程完工后，工程验收前，乙方应向甲方提交全套竣工资料（共2套）。</w:t>
      </w:r>
    </w:p>
    <w:p w14:paraId="3427A9D4">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九、乙方在施工现场必须具备以下管理人员：</w:t>
      </w:r>
    </w:p>
    <w:p w14:paraId="3AA9D26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项目负责人</w:t>
      </w:r>
      <w:r>
        <w:rPr>
          <w:rFonts w:hint="eastAsia" w:ascii="仿宋" w:hAnsi="仿宋" w:eastAsia="仿宋" w:cs="仿宋"/>
          <w:color w:val="auto"/>
          <w:sz w:val="24"/>
          <w:szCs w:val="24"/>
          <w:highlight w:val="none"/>
          <w:u w:val="single"/>
        </w:rPr>
        <w:t>1</w:t>
      </w:r>
      <w:r>
        <w:rPr>
          <w:rFonts w:hint="eastAsia" w:ascii="仿宋" w:hAnsi="仿宋" w:eastAsia="仿宋" w:cs="仿宋"/>
          <w:color w:val="auto"/>
          <w:sz w:val="24"/>
          <w:szCs w:val="24"/>
          <w:highlight w:val="none"/>
        </w:rPr>
        <w:t>名；工长</w:t>
      </w:r>
      <w:r>
        <w:rPr>
          <w:rFonts w:hint="eastAsia" w:ascii="仿宋" w:hAnsi="仿宋" w:eastAsia="仿宋" w:cs="仿宋"/>
          <w:color w:val="auto"/>
          <w:sz w:val="24"/>
          <w:szCs w:val="24"/>
          <w:highlight w:val="none"/>
          <w:u w:val="single"/>
        </w:rPr>
        <w:t>1</w:t>
      </w:r>
      <w:r>
        <w:rPr>
          <w:rFonts w:hint="eastAsia" w:ascii="仿宋" w:hAnsi="仿宋" w:eastAsia="仿宋" w:cs="仿宋"/>
          <w:color w:val="auto"/>
          <w:sz w:val="24"/>
          <w:szCs w:val="24"/>
          <w:highlight w:val="none"/>
        </w:rPr>
        <w:t>名；材料保管</w:t>
      </w:r>
      <w:r>
        <w:rPr>
          <w:rFonts w:hint="eastAsia" w:ascii="仿宋" w:hAnsi="仿宋" w:eastAsia="仿宋" w:cs="仿宋"/>
          <w:color w:val="auto"/>
          <w:sz w:val="24"/>
          <w:szCs w:val="24"/>
          <w:highlight w:val="none"/>
          <w:u w:val="single"/>
        </w:rPr>
        <w:t>1</w:t>
      </w:r>
      <w:r>
        <w:rPr>
          <w:rFonts w:hint="eastAsia" w:ascii="仿宋" w:hAnsi="仿宋" w:eastAsia="仿宋" w:cs="仿宋"/>
          <w:color w:val="auto"/>
          <w:sz w:val="24"/>
          <w:szCs w:val="24"/>
          <w:highlight w:val="none"/>
        </w:rPr>
        <w:t>名；安全员</w:t>
      </w:r>
      <w:r>
        <w:rPr>
          <w:rFonts w:hint="eastAsia" w:ascii="仿宋" w:hAnsi="仿宋" w:eastAsia="仿宋" w:cs="仿宋"/>
          <w:color w:val="auto"/>
          <w:sz w:val="24"/>
          <w:szCs w:val="24"/>
          <w:highlight w:val="none"/>
          <w:u w:val="single"/>
        </w:rPr>
        <w:t>1</w:t>
      </w:r>
      <w:r>
        <w:rPr>
          <w:rFonts w:hint="eastAsia" w:ascii="仿宋" w:hAnsi="仿宋" w:eastAsia="仿宋" w:cs="仿宋"/>
          <w:color w:val="auto"/>
          <w:sz w:val="24"/>
          <w:szCs w:val="24"/>
          <w:highlight w:val="none"/>
        </w:rPr>
        <w:t>名；人员素质符合项目部要求规定，特殊工种必须持证上岗，并报甲方及甲方项目部备案。</w:t>
      </w:r>
    </w:p>
    <w:p w14:paraId="55769731">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十、安全生产以及事故处理</w:t>
      </w:r>
    </w:p>
    <w:p w14:paraId="53A464A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1、甲、乙双方必须认真遵守有关安全生产的法律、法规、遵守所在地政府及建设行政主管部门，劳动安全生产部门颁布的规定和项目部的统一管理。</w:t>
      </w:r>
    </w:p>
    <w:p w14:paraId="2D745F6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2、甲方提供乙方的各类大型施工机械，脚手架及防护设施符合标准。乙方应按规定正确安全使用，做好交验工作。</w:t>
      </w:r>
    </w:p>
    <w:p w14:paraId="7913A33B">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3、乙方需要缴纳安全风险金</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万元（或乙方</w:t>
      </w:r>
      <w:r>
        <w:rPr>
          <w:rFonts w:hint="eastAsia" w:ascii="仿宋" w:hAnsi="仿宋" w:eastAsia="仿宋" w:cs="仿宋"/>
          <w:color w:val="auto"/>
          <w:sz w:val="24"/>
          <w:szCs w:val="24"/>
          <w:highlight w:val="none"/>
          <w:lang w:val="en-US" w:eastAsia="zh-CN"/>
        </w:rPr>
        <w:t>承</w:t>
      </w:r>
      <w:r>
        <w:rPr>
          <w:rFonts w:hint="eastAsia" w:ascii="仿宋" w:hAnsi="仿宋" w:eastAsia="仿宋" w:cs="仿宋"/>
          <w:color w:val="auto"/>
          <w:sz w:val="24"/>
          <w:szCs w:val="24"/>
          <w:highlight w:val="none"/>
        </w:rPr>
        <w:t>包单价中，工程总造价的</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为安全风险金），如在本工程结束后，没发生安全事故，风险金将全额退给乙方；如发生安全事故，包括人员伤亡及相关财产损失而发生费用支付与损失赔偿，将从乙方安全风险金中扣除。如安全风险金不足以支付上述费用，由乙方自行补足承担全部责任。如发生相关法律后果的，一切责任均由乙方全部承担。</w:t>
      </w:r>
    </w:p>
    <w:p w14:paraId="0D81ED0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劳务人员进入施工现场必须向甲方上报人员名单，并附身份证复印件一张备案，并由甲方拍照留底。甲方应对乙方施工人员及管理人员进行安全技术交底，乙方应积极组织人员接受交底，并做好交底记录。未进行交底，乙方不得进入现场施工。</w:t>
      </w:r>
    </w:p>
    <w:p w14:paraId="77CD0048">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5、乙方人员必须严格按安全技术操作规程要求操作施工。不得违章操作。如乙方违章，不按甲方交底，所造成的后果全部由乙方承担。</w:t>
      </w:r>
    </w:p>
    <w:p w14:paraId="4CCB09C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6、因施工操作不当，违章操作、不正确使用佩戴安全用具，不正确搭设安全设施等造成的安全事故，其责任和损失包括其相关全部法律后果等均由乙方全部承担。</w:t>
      </w:r>
    </w:p>
    <w:p w14:paraId="0BE6315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7、为了强化乙方的安全管理责任，乙方须同时随本合同签订“安全生产目标管理责任书”、“施工现场安全管理目标承诺书。”。</w:t>
      </w:r>
    </w:p>
    <w:p w14:paraId="23EF263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8、乙方必须为所有现场施工人员购买意外伤害保险。</w:t>
      </w:r>
    </w:p>
    <w:p w14:paraId="2A2B030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9、乙方施工人员在工作中如因自身生病或违反法律规定，所造成的相关损失与费用承担均由乙方自行负责。</w:t>
      </w:r>
    </w:p>
    <w:p w14:paraId="04308EAB">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十一、文明施工</w:t>
      </w:r>
    </w:p>
    <w:p w14:paraId="3ED4A004">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施工现场保持干净、整洁，要求有宣传标牌和各项规章制度，住宿和食堂要保持良好的环境和卫生，对施工人员时常加强思想政治教育、施工场地禁止喝酒、闹事、防止偷盗，若违反规定按规定处理。如在施工现场进行打架、斗殴，项目部将对乙方给予扣除5000元作为违约金的处理，一切医疗费用由乙方承担。</w:t>
      </w:r>
    </w:p>
    <w:p w14:paraId="32B5323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提供的劳动每50人必须设立一名专职安全员，乙方应对所属人员进行安全生产、环境保护、职业健康、食品卫生、交通安全及预防煤气中毒等方面的教育，遵守甲方有关安全生产、综合治理、场容卫生等企业规章制度、服从甲方有关人员的指导、教育、监督和检查，向甲方提供相关情况和资料。</w:t>
      </w:r>
    </w:p>
    <w:p w14:paraId="2F67131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3、乙方进行高空作业人员必须具有高空作业许可证件，否则不得从事高处作业。</w:t>
      </w:r>
    </w:p>
    <w:p w14:paraId="6CDAD96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4、乙方施工期间必须要满足甲方对施工现场环境保护的要求。</w:t>
      </w:r>
    </w:p>
    <w:p w14:paraId="1C711BC2">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乙方项目部全体施工人员在施工期间，如因当地政府有关部门需要施工单位配合完成社会维稳及疫情核查等相关工作任务的，乙方项目部须积极配合甲方共同完成。如乙方项目部拖延消极不配合或拒绝实施的，所产生的一切责任及其后果均由乙方项目部自行承担。</w:t>
      </w:r>
    </w:p>
    <w:p w14:paraId="1C039A56">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十二、乙方人员所使用的料具、机械，以及生活等方面的管理按照甲方有关规定执行。</w:t>
      </w:r>
    </w:p>
    <w:p w14:paraId="63D2E5D8">
      <w:pPr>
        <w:wordWrap w:val="0"/>
        <w:spacing w:line="360" w:lineRule="auto"/>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1、一般工具由乙方自行负责，确保满足正常工作需要。</w:t>
      </w:r>
    </w:p>
    <w:p w14:paraId="129C73C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2、对甲方负责供应的料具等设备，乙方应认真保管爱护，如有丢失损坏，乙方负责赔偿；对甲方负责供应的材料乙方未经甲方项目部同意不得擅自切割、毁坏，发现一次将给予500元罚款。</w:t>
      </w:r>
    </w:p>
    <w:p w14:paraId="14843F25">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十三、甲方的权利义务</w:t>
      </w:r>
    </w:p>
    <w:p w14:paraId="14B1918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1、甲方有权利审查乙方的相关资质，查验乙方出具的有关法律文件及相关手续，包括营业执照、资质等级证书，出省施工许可证。建筑工程项目</w:t>
      </w:r>
      <w:r>
        <w:rPr>
          <w:rFonts w:hint="eastAsia" w:ascii="仿宋" w:hAnsi="仿宋" w:eastAsia="仿宋" w:cs="仿宋"/>
          <w:color w:val="auto"/>
          <w:sz w:val="24"/>
          <w:szCs w:val="24"/>
          <w:highlight w:val="none"/>
          <w:lang w:val="en-US" w:eastAsia="zh-CN"/>
        </w:rPr>
        <w:t>承</w:t>
      </w:r>
      <w:r>
        <w:rPr>
          <w:rFonts w:hint="eastAsia" w:ascii="仿宋" w:hAnsi="仿宋" w:eastAsia="仿宋" w:cs="仿宋"/>
          <w:color w:val="auto"/>
          <w:sz w:val="24"/>
          <w:szCs w:val="24"/>
          <w:highlight w:val="none"/>
        </w:rPr>
        <w:t>包合同，法人证书或法人委托证书等。</w:t>
      </w:r>
    </w:p>
    <w:p w14:paraId="542A3AF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2、甲方有权对乙方人员进行考察，并对不合格者建议乙方辞退，乙方必须予以配合。</w:t>
      </w:r>
    </w:p>
    <w:p w14:paraId="69D57CE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3、乙方在施工过程中如质量、安全、进度达不到甲方的要求，甲方有权终止合同，更换乙方，由此造成的损失（单价上涨、工期延误、设备租金、业主罚金等）从乙方工程款中扣除。</w:t>
      </w:r>
    </w:p>
    <w:p w14:paraId="2D34B62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4、乙方安排的人员进入现场时应进行遵纪守法、安全生产、消防、职业道德及企业内部管理制度等方面的宣传教育工作，甲方有权进行监督检查。</w:t>
      </w:r>
    </w:p>
    <w:p w14:paraId="59DAFC7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5、应及时向乙方提供施工生产所必需的技术、安全、节约等方面的书面交底。应负责安排好乙方连续生产避免停工、窝工；若不能保证连续生产应及时在内部进行调整安排。</w:t>
      </w:r>
    </w:p>
    <w:p w14:paraId="203A0E0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6、甲方应积极协助，乙方自行办理劳务输出手续费用自理。</w:t>
      </w:r>
    </w:p>
    <w:p w14:paraId="3547226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7、甲方按合同规定及时办理劳务费用的结算、付款、不得无故拖延。</w:t>
      </w:r>
    </w:p>
    <w:p w14:paraId="07E5D0A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8、甲方按工程进度和合同约定，给乙方支付工程款。</w:t>
      </w:r>
    </w:p>
    <w:p w14:paraId="0DEBDCB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9、乙方人员不符合要求，甲方有权要求乙方进行调整，乙方无法调整时，甲方有权暂不安排施工任务，并且可以终止合同，造成所有费用由责任方全部承担。</w:t>
      </w:r>
    </w:p>
    <w:p w14:paraId="31ACF4E9">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十四、 乙方的权利义务</w:t>
      </w:r>
    </w:p>
    <w:p w14:paraId="7F4EFA44">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1、乙方不得转包与再分包。</w:t>
      </w:r>
    </w:p>
    <w:p w14:paraId="5094CB2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应保证人员的政治素质、身体素质和技术水平必须符合建筑行业就业的特殊要求、工人年龄不得低于18周岁、不得超过50周岁。合同签订时，乙方将在现场工作的所有劳务人员报花名册和身份证，附合同后备案，如无备案人员，结算人工工资时，甲方不给发放，全部由乙方自行承担。乙方按照合同规定的人数提供给甲方，保证人员的相对稳定，不能随意变更注册人员，如有特殊原因，必须办理离开工地手续等。</w:t>
      </w:r>
    </w:p>
    <w:p w14:paraId="13575A6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高处作业人员的身体条件要符合安全要求。如，不得雇用患有高血压病、心脏病、贫血、癫痫病等不适合高处作业的人员，从事高处作业；对疲劳过度、精神不振和思想情绪低落人员要停止高处作业；严禁酒后从事高处作业。</w:t>
      </w:r>
    </w:p>
    <w:p w14:paraId="1A4066C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4、乙方应遵守劳务输入所在地区政府的有关规定，承担国家及地方政府规定的外省区进疆建筑劳务队伍应缴纳的各项税费。并由乙方办理和承担本项目劳务工人的保险费用。</w:t>
      </w:r>
    </w:p>
    <w:p w14:paraId="7C4C2AF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5、乙方应保证按期、按质、按量完成甲方委托的生产任务，服从甲方的统筹安排、统一调配，自觉遵守甲方的生产、经营管理、劳动纪律等规章制度。</w:t>
      </w:r>
    </w:p>
    <w:p w14:paraId="0AF9C39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6、乙方人员在施工操作中，应注意保护成品、半成品，保养使用甲方机械设备及工具，如发生损坏，应按价赔偿。</w:t>
      </w:r>
    </w:p>
    <w:p w14:paraId="777DEAD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7、除甲方提供的设备、设施以外的小型机械均由乙方自备并承担维修、保养等相关费用和保管责任。</w:t>
      </w:r>
    </w:p>
    <w:p w14:paraId="21422D6B">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8、乙方人员全部进场后，在2天内将该工程所用工人花名册必须上报甲方项目部，并且必须进行项目部拍照留底，不留底人员，如出现任何事故，甲方项目部将不负任何责任。</w:t>
      </w:r>
    </w:p>
    <w:p w14:paraId="594EC98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乙方必须按甲方指定的项目工程组织施工，按时完成甲方分配的各项生产任务，服从甲方人员的管理与调动。不得使用未成年人或年满50岁及慢性病患者和智力低下者，不得安排无特殊岗位操作证的人员上岗，不得携带儿童进入施工现场，不得擅自撤换劳动力或不服从管理，必须保证规定的劳动力人数和工人的技术素质。特殊工种乙方需出示医疗机构检查合格的证明（如电焊工等）。</w:t>
      </w:r>
    </w:p>
    <w:p w14:paraId="20949E2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10、乙方必须做好所属人员的防暑降温工作，自负生活用煤用气、医疗费用、各类交通费，及劳动保护用品等，缴纳政府规定的费税，积极参加甲方各部门组织的活动、会议和培训。</w:t>
      </w:r>
    </w:p>
    <w:p w14:paraId="7457E01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11、乙方必须保证所用人员不得到任何单位上访，如有上访事件每次从未付款项中扣除1万元违约金。</w:t>
      </w:r>
    </w:p>
    <w:p w14:paraId="10A76B4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12、乙方在质保期内必须做到12小时内到场履行保修义务，如在接到甲方通知24小时内未到场的，甲方有权委托他人维修处理，所发生的费用由乙方承担，并每次处10%质保金的罚款（保修期同甲方主合同保修期）。</w:t>
      </w:r>
    </w:p>
    <w:p w14:paraId="104D0172">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13、乙方应支付履约保证金</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万元，本合同签订</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日内支付甲方，合同履行完毕乙方无违约情况，甲方全额无息退还乙方履约保证金。</w:t>
      </w:r>
    </w:p>
    <w:p w14:paraId="38859CF4">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十五、违约责任</w:t>
      </w:r>
    </w:p>
    <w:p w14:paraId="509B8F39">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1、甲方违约责任</w:t>
      </w:r>
    </w:p>
    <w:p w14:paraId="47EC46D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（1）由于甲方安排任务不及时或材料机具供应不及时，应尽快调整乙方的工作任务。因特殊原因造成停工，应及时通知乙方，乙方自行调整。</w:t>
      </w:r>
    </w:p>
    <w:p w14:paraId="79452FA0">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（2）甲方不能及时支付工程款时，应及时告知乙方。</w:t>
      </w:r>
    </w:p>
    <w:p w14:paraId="3F2CE4AE">
      <w:pPr>
        <w:wordWrap w:val="0"/>
        <w:spacing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2、乙方违约责任</w:t>
      </w:r>
    </w:p>
    <w:p w14:paraId="4BC7D8E7">
      <w:pPr>
        <w:wordWrap w:val="0"/>
        <w:spacing w:line="360" w:lineRule="auto"/>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乙方在正常施工条件下，工期每拖延一天按应合同总额1‰支付违约金，甲方有权从乙方的报酬中直接扣除。拖延达15天的，甲方有权解除本合同，对于已完工程质量合格部分，甲方按应付款的70%支付。因乙方延误给甲方造成其他损失的，乙方全额赔偿。</w:t>
      </w:r>
    </w:p>
    <w:p w14:paraId="5C1FD36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（2）因乙方原因造成质量问题返工的，其返工费用由乙方承担。如因乙方施工原因造成工程质量达不到合同约定的标准时，甲方有权终止本合同，相关损失全部由乙方承担。</w:t>
      </w:r>
    </w:p>
    <w:p w14:paraId="2FDF841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（3）如果乙方转包工程的，甲方有权解除合同，乙方应向甲方支付违约金为劳务费用总额的20%，且应赔偿因此造成的损失。</w:t>
      </w:r>
    </w:p>
    <w:p w14:paraId="0FCF99B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（4）如因乙方原因造成甲方或第三人人身或财产损失，由乙方负责赔偿。如果乙方处理不当，受害方向甲方提出索赔要求时，甲方有权从应支付乙方的费用中扣除直接支付受害方。</w:t>
      </w:r>
    </w:p>
    <w:p w14:paraId="182851F6">
      <w:pPr>
        <w:wordWrap w:val="0"/>
        <w:spacing w:line="360" w:lineRule="auto"/>
        <w:ind w:firstLine="480" w:firstLineChars="200"/>
        <w:rPr>
          <w:rFonts w:hint="eastAsia" w:ascii="仿宋" w:hAnsi="仿宋" w:eastAsia="仿宋" w:cs="仿宋"/>
          <w:b/>
          <w:color w:val="auto"/>
          <w:sz w:val="44"/>
          <w:szCs w:val="44"/>
          <w:highlight w:val="none"/>
          <w:u w:val="single" w:color="FF0000"/>
        </w:rPr>
      </w:pPr>
      <w:r>
        <w:rPr>
          <w:rFonts w:hint="eastAsia" w:ascii="仿宋" w:hAnsi="仿宋" w:eastAsia="仿宋" w:cs="仿宋"/>
          <w:color w:val="auto"/>
          <w:sz w:val="24"/>
          <w:szCs w:val="24"/>
          <w:highlight w:val="none"/>
        </w:rPr>
        <w:t>（5）甲方依据本条第二款第三、第四或第五项终止或解除本合同的，终止或解除的通知送达到乙方后生效。</w:t>
      </w:r>
    </w:p>
    <w:p w14:paraId="29827B8D">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十六、 未尽事宜或争议处理</w:t>
      </w:r>
    </w:p>
    <w:p w14:paraId="6C7391E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双方在履行合同过程中如有未尽事宜或发生争议的，双方应友好协商，妥善解决。如确实协商不成的，可向甲方所在地人民法院提起诉讼解决。</w:t>
      </w:r>
    </w:p>
    <w:p w14:paraId="47F103CD">
      <w:pPr>
        <w:tabs>
          <w:tab w:val="left" w:pos="1423"/>
        </w:tabs>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十七、送达</w:t>
      </w:r>
    </w:p>
    <w:p w14:paraId="7C654260">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1、本合同各方确认：《</w:t>
      </w:r>
      <w:r>
        <w:rPr>
          <w:rFonts w:hint="eastAsia" w:ascii="仿宋" w:hAnsi="仿宋" w:eastAsia="仿宋" w:cs="仿宋"/>
          <w:color w:val="auto"/>
          <w:sz w:val="24"/>
          <w:szCs w:val="24"/>
          <w:highlight w:val="none"/>
          <w:lang w:eastAsia="zh-CN"/>
        </w:rPr>
        <w:t>元盛祥府</w:t>
      </w:r>
      <w:r>
        <w:rPr>
          <w:rFonts w:hint="eastAsia" w:ascii="仿宋" w:hAnsi="仿宋" w:eastAsia="仿宋" w:cs="仿宋"/>
          <w:color w:val="auto"/>
          <w:sz w:val="24"/>
          <w:szCs w:val="24"/>
          <w:highlight w:val="none"/>
          <w:lang w:val="en-US" w:eastAsia="zh-CN"/>
        </w:rPr>
        <w:t>物料</w:t>
      </w:r>
      <w:r>
        <w:rPr>
          <w:rFonts w:hint="eastAsia" w:ascii="仿宋" w:hAnsi="仿宋" w:eastAsia="仿宋" w:cs="仿宋"/>
          <w:color w:val="auto"/>
          <w:sz w:val="24"/>
          <w:szCs w:val="24"/>
          <w:highlight w:val="none"/>
          <w:lang w:eastAsia="zh-CN"/>
        </w:rPr>
        <w:t>制作及安装</w:t>
      </w:r>
      <w:r>
        <w:rPr>
          <w:rFonts w:hint="eastAsia" w:ascii="仿宋" w:hAnsi="仿宋" w:eastAsia="仿宋" w:cs="仿宋"/>
          <w:color w:val="auto"/>
          <w:sz w:val="24"/>
          <w:szCs w:val="24"/>
          <w:highlight w:val="none"/>
          <w:lang w:val="en-US" w:eastAsia="zh-CN"/>
        </w:rPr>
        <w:t>合同</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
        </w:rPr>
        <w:t>签署页</w:t>
      </w:r>
      <w:r>
        <w:rPr>
          <w:rFonts w:hint="eastAsia" w:ascii="仿宋" w:hAnsi="仿宋" w:eastAsia="仿宋" w:cs="仿宋"/>
          <w:color w:val="auto"/>
          <w:sz w:val="24"/>
          <w:szCs w:val="24"/>
          <w:highlight w:val="none"/>
        </w:rPr>
        <w:t>约定的地址（包括邮寄地址、微信地址、邮箱地址）适用范围包括非诉时各类通知、合同等文件以及合同发生纠纷时相关文件和法律文书的送达，同时包括在争议进入民事诉讼程序后的一审、二审、再审和执行程序。</w:t>
      </w:r>
    </w:p>
    <w:p w14:paraId="0CF74ADF">
      <w:pPr>
        <w:pStyle w:val="4"/>
        <w:wordWrap w:val="0"/>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2、送达地址需要变更时应当及时向各方履行书面通知义务，未履行通知义务的，合同首部确认的送达地址仍视为有效送达地址。</w:t>
      </w:r>
    </w:p>
    <w:p w14:paraId="6993E0B1">
      <w:pPr>
        <w:pStyle w:val="4"/>
        <w:wordWrap w:val="0"/>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3、因以下情形导致法律文书未能被当事人接收的，依然产生送达的法律后果：</w:t>
      </w:r>
    </w:p>
    <w:p w14:paraId="1B8FD306">
      <w:pPr>
        <w:pStyle w:val="4"/>
        <w:wordWrap w:val="0"/>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3.1因各方当事人提供或者确认的送达地址不准确的；</w:t>
      </w:r>
    </w:p>
    <w:p w14:paraId="5C51FD61">
      <w:pPr>
        <w:pStyle w:val="4"/>
        <w:wordWrap w:val="0"/>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3.2送达地址变更后未及时书面告知各方和人民法院的；</w:t>
      </w:r>
    </w:p>
    <w:p w14:paraId="08B0A4E7">
      <w:pPr>
        <w:pStyle w:val="4"/>
        <w:wordWrap w:val="0"/>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3.3各方当事人或有权签收人拒绝签收的。</w:t>
      </w:r>
    </w:p>
    <w:p w14:paraId="3C68EC16">
      <w:pPr>
        <w:pStyle w:val="4"/>
        <w:wordWrap w:val="0"/>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发生上述情形时，邮寄送达的，以文书退回之日视为送达之日；微信送达、电子邮件送达的，以微信、电子邮件发送成功之日为送达之日；</w:t>
      </w:r>
    </w:p>
    <w:p w14:paraId="5605978C">
      <w:pPr>
        <w:pStyle w:val="4"/>
        <w:wordWrap w:val="0"/>
        <w:spacing w:line="360" w:lineRule="auto"/>
        <w:ind w:firstLine="48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4、履行送达地址变更通知义务后，以变更后的送达地址为有效送达地址。对于各方当事人在合同首部约定的送达地址，法院进行送达时可直接邮寄送达（包括微信送达、电子邮件送达），即使当事人未能收到法院邮寄送达的文书，也应当视为送达。法院同时使用邮寄送达、微信送达、电子邮件送达的，以最先送达的日期为法定送达日期。</w:t>
      </w:r>
    </w:p>
    <w:p w14:paraId="652FE488">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十八、附则</w:t>
      </w:r>
    </w:p>
    <w:p w14:paraId="0FA8A2C5">
      <w:pPr>
        <w:pStyle w:val="5"/>
        <w:wordWrap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乙方与甲方拟定、签订本合同时，需根据甲方要求将营业执照、开户信息证明、资质、法人代表身份证、经办人身份证、及与签订本合同有关的其它证件资料，扫描电子版清晰附于本合同签署页后，以供甲方核验。</w:t>
      </w:r>
    </w:p>
    <w:p w14:paraId="0DD641C1">
      <w:pPr>
        <w:pStyle w:val="5"/>
        <w:wordWrap w:val="0"/>
        <w:spacing w:line="360" w:lineRule="auto"/>
        <w:ind w:firstLine="482" w:firstLineChars="200"/>
        <w:rPr>
          <w:rFonts w:hint="eastAsia" w:ascii="仿宋" w:hAnsi="仿宋" w:eastAsia="仿宋" w:cs="仿宋"/>
          <w:b/>
          <w:bCs/>
          <w:color w:val="auto"/>
          <w:kern w:val="0"/>
          <w:sz w:val="24"/>
          <w:szCs w:val="24"/>
          <w:highlight w:val="none"/>
        </w:rPr>
      </w:pPr>
      <w:bookmarkStart w:id="1" w:name="_Hlk96440791"/>
      <w:bookmarkStart w:id="2" w:name="_Hlk96441036"/>
      <w:r>
        <w:rPr>
          <w:rFonts w:hint="eastAsia" w:ascii="仿宋" w:hAnsi="仿宋" w:eastAsia="仿宋" w:cs="仿宋"/>
          <w:b/>
          <w:bCs/>
          <w:color w:val="auto"/>
          <w:kern w:val="0"/>
          <w:sz w:val="24"/>
          <w:szCs w:val="24"/>
          <w:highlight w:val="none"/>
        </w:rPr>
        <w:t>2、甲方特别声明：本项目中所有补充合同、签证单、结算单、对账单、运单、借条、证明等经济资料，均需有甲方盖章，甲方并未授权任何个人有权单独签署上述经济资料，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w:t>
      </w:r>
    </w:p>
    <w:p w14:paraId="348AA52A">
      <w:pPr>
        <w:pStyle w:val="5"/>
        <w:wordWrap w:val="0"/>
        <w:spacing w:line="360" w:lineRule="auto"/>
        <w:ind w:firstLine="482" w:firstLineChars="2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一切私刻、私拓甲方公章，以甲方名义所签订任何合同与文件，包括私拓甲方授权文件以甲方名义擅自出具任何授权委托书等，甲方均不予认可，且均不对甲方产生任何法律效力！</w:t>
      </w:r>
    </w:p>
    <w:p w14:paraId="5AAF3829">
      <w:pPr>
        <w:pStyle w:val="5"/>
        <w:wordWrap w:val="0"/>
        <w:spacing w:line="360" w:lineRule="auto"/>
        <w:ind w:firstLine="482" w:firstLineChars="2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w:t>
      </w:r>
      <w:bookmarkEnd w:id="1"/>
      <w:bookmarkEnd w:id="2"/>
      <w:r>
        <w:rPr>
          <w:rFonts w:hint="eastAsia" w:ascii="仿宋" w:hAnsi="仿宋" w:eastAsia="仿宋" w:cs="仿宋"/>
          <w:b/>
          <w:bCs/>
          <w:color w:val="auto"/>
          <w:kern w:val="0"/>
          <w:sz w:val="24"/>
          <w:szCs w:val="24"/>
          <w:highlight w:val="none"/>
        </w:rPr>
        <w:t>，且均不对甲方产生任何法律效力！</w:t>
      </w:r>
    </w:p>
    <w:p w14:paraId="43E7EF1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3、本合同一式4份，甲方</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份、乙方</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份。本合同经双方签字盖章后生效，自双方各自责任义务履行完毕后自动失效。</w:t>
      </w:r>
    </w:p>
    <w:p w14:paraId="6D0ABA1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4、附乙方该工程包括其管理人员在内的所有人员亲自签名的施工人员花名册、身份证号码、住址及联系方法。</w:t>
      </w:r>
    </w:p>
    <w:p w14:paraId="5B8A2B1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（以下无正文，为签署页）</w:t>
      </w:r>
    </w:p>
    <w:p w14:paraId="2BD0A66E">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br w:type="page"/>
      </w:r>
      <w:r>
        <w:rPr>
          <w:rFonts w:hint="eastAsia" w:ascii="仿宋" w:hAnsi="仿宋" w:eastAsia="仿宋" w:cs="仿宋"/>
          <w:bCs/>
          <w:color w:val="auto"/>
          <w:sz w:val="24"/>
          <w:szCs w:val="24"/>
          <w:highlight w:val="none"/>
        </w:rPr>
        <w:t>甲方（盖章）：</w:t>
      </w:r>
      <w:r>
        <w:rPr>
          <w:rFonts w:hint="eastAsia" w:ascii="仿宋" w:hAnsi="仿宋" w:eastAsia="仿宋" w:cs="仿宋"/>
          <w:bCs/>
          <w:color w:val="auto"/>
          <w:sz w:val="24"/>
          <w:szCs w:val="24"/>
          <w:highlight w:val="none"/>
          <w:lang w:val="en-US" w:eastAsia="zh-CN"/>
        </w:rPr>
        <w:t>乌鲁木齐薪薪森林广告有限公司</w:t>
      </w:r>
    </w:p>
    <w:p w14:paraId="694E6A25">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统一社会信用代码：</w:t>
      </w:r>
      <w:r>
        <w:rPr>
          <w:rFonts w:hint="eastAsia"/>
        </w:rPr>
        <w:t>91650104328722330B</w:t>
      </w:r>
    </w:p>
    <w:p w14:paraId="5B8F82A5">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详细地址：</w:t>
      </w:r>
      <w:r>
        <w:rPr>
          <w:rFonts w:hint="eastAsia" w:ascii="仿宋" w:hAnsi="仿宋" w:eastAsia="仿宋" w:cs="仿宋"/>
          <w:bCs/>
          <w:color w:val="auto"/>
          <w:sz w:val="24"/>
          <w:szCs w:val="24"/>
          <w:highlight w:val="none"/>
          <w:lang w:eastAsia="zh-CN"/>
        </w:rPr>
        <w:t>乌鲁木齐高新技术产业开(新市区)北京中路256号201室</w:t>
      </w:r>
    </w:p>
    <w:p w14:paraId="4FF2FB99">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开户行：</w:t>
      </w:r>
      <w:r>
        <w:rPr>
          <w:rFonts w:hint="eastAsia" w:ascii="仿宋" w:hAnsi="仿宋" w:eastAsia="仿宋" w:cs="仿宋"/>
          <w:bCs/>
          <w:color w:val="auto"/>
          <w:sz w:val="24"/>
          <w:szCs w:val="24"/>
          <w:highlight w:val="none"/>
          <w:lang w:eastAsia="zh-CN"/>
        </w:rPr>
        <w:t>新疆天山农村商业银行股份有限公司长春路支行</w:t>
      </w:r>
    </w:p>
    <w:p w14:paraId="3C7FBE87">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账  号：</w:t>
      </w:r>
      <w:r>
        <w:rPr>
          <w:rFonts w:hint="eastAsia" w:ascii="仿宋" w:hAnsi="仿宋" w:eastAsia="仿宋" w:cs="仿宋"/>
          <w:bCs/>
          <w:color w:val="auto"/>
          <w:kern w:val="0"/>
          <w:sz w:val="24"/>
          <w:szCs w:val="24"/>
          <w:highlight w:val="none"/>
          <w:lang w:eastAsia="zh-CN" w:bidi="ar"/>
        </w:rPr>
        <w:t>802021312010101191171</w:t>
      </w:r>
    </w:p>
    <w:p w14:paraId="3B279862">
      <w:pPr>
        <w:wordWrap w:val="0"/>
        <w:spacing w:line="360" w:lineRule="auto"/>
        <w:rPr>
          <w:rFonts w:hint="eastAsia" w:ascii="仿宋" w:hAnsi="仿宋" w:eastAsia="仿宋" w:cs="仿宋"/>
          <w:bCs/>
          <w:color w:val="auto"/>
          <w:sz w:val="24"/>
          <w:szCs w:val="24"/>
          <w:highlight w:val="none"/>
        </w:rPr>
      </w:pPr>
    </w:p>
    <w:p w14:paraId="6EEBBFA1">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甲方项目现场负责人或经其授权的代理人（</w:t>
      </w:r>
      <w:r>
        <w:rPr>
          <w:rFonts w:hint="eastAsia" w:ascii="仿宋" w:hAnsi="仿宋" w:eastAsia="仿宋" w:cs="仿宋"/>
          <w:bCs/>
          <w:color w:val="auto"/>
          <w:sz w:val="24"/>
          <w:szCs w:val="24"/>
          <w:highlight w:val="none"/>
          <w:lang w:eastAsia="zh"/>
        </w:rPr>
        <w:t>卢婷婷</w:t>
      </w:r>
      <w:r>
        <w:rPr>
          <w:rFonts w:hint="eastAsia" w:ascii="仿宋" w:hAnsi="仿宋" w:eastAsia="仿宋" w:cs="仿宋"/>
          <w:bCs/>
          <w:color w:val="auto"/>
          <w:sz w:val="24"/>
          <w:szCs w:val="24"/>
          <w:highlight w:val="none"/>
        </w:rPr>
        <w:t>）签字：</w:t>
      </w:r>
    </w:p>
    <w:p w14:paraId="7EDA55CE">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联系方式：</w:t>
      </w:r>
      <w:r>
        <w:rPr>
          <w:rFonts w:hint="eastAsia" w:ascii="仿宋" w:hAnsi="仿宋" w:eastAsia="仿宋" w:cs="仿宋"/>
          <w:bCs/>
          <w:color w:val="auto"/>
          <w:sz w:val="24"/>
          <w:szCs w:val="24"/>
          <w:highlight w:val="none"/>
          <w:lang w:eastAsia="zh"/>
        </w:rPr>
        <w:t>13199840890</w:t>
      </w:r>
    </w:p>
    <w:p w14:paraId="202C3A12">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邮箱号：</w:t>
      </w:r>
      <w:r>
        <w:rPr>
          <w:rFonts w:hint="eastAsia" w:ascii="仿宋" w:hAnsi="仿宋" w:eastAsia="仿宋" w:cs="仿宋"/>
          <w:bCs/>
          <w:color w:val="auto"/>
          <w:sz w:val="24"/>
          <w:szCs w:val="24"/>
          <w:highlight w:val="none"/>
          <w:lang w:val="en-US" w:eastAsia="zh-CN"/>
        </w:rPr>
        <w:t>2740667736@qq.com</w:t>
      </w:r>
    </w:p>
    <w:p w14:paraId="0DF12E68">
      <w:pPr>
        <w:pStyle w:val="3"/>
        <w:wordWrap w:val="0"/>
        <w:spacing w:line="360" w:lineRule="auto"/>
        <w:rPr>
          <w:rFonts w:hint="eastAsia" w:ascii="仿宋" w:hAnsi="仿宋" w:eastAsia="仿宋" w:cs="仿宋"/>
          <w:color w:val="auto"/>
          <w:szCs w:val="24"/>
          <w:highlight w:val="none"/>
        </w:rPr>
      </w:pPr>
    </w:p>
    <w:p w14:paraId="624F636C">
      <w:pPr>
        <w:pStyle w:val="3"/>
        <w:wordWrap w:val="0"/>
        <w:spacing w:line="360" w:lineRule="auto"/>
        <w:rPr>
          <w:rFonts w:hint="eastAsia" w:ascii="仿宋" w:hAnsi="仿宋" w:eastAsia="仿宋" w:cs="仿宋"/>
          <w:color w:val="auto"/>
          <w:szCs w:val="24"/>
          <w:highlight w:val="none"/>
        </w:rPr>
      </w:pPr>
    </w:p>
    <w:p w14:paraId="2DF92E07">
      <w:pPr>
        <w:pStyle w:val="3"/>
        <w:wordWrap w:val="0"/>
        <w:spacing w:line="360" w:lineRule="auto"/>
        <w:rPr>
          <w:rFonts w:hint="eastAsia" w:ascii="仿宋" w:hAnsi="仿宋" w:eastAsia="仿宋" w:cs="仿宋"/>
          <w:color w:val="auto"/>
          <w:szCs w:val="24"/>
          <w:highlight w:val="none"/>
        </w:rPr>
      </w:pPr>
    </w:p>
    <w:p w14:paraId="28B8DB8C">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乙方（盖章）：</w:t>
      </w:r>
      <w:r>
        <w:rPr>
          <w:rFonts w:hint="eastAsia" w:ascii="仿宋" w:hAnsi="仿宋" w:eastAsia="仿宋" w:cs="仿宋"/>
          <w:bCs/>
          <w:color w:val="auto"/>
          <w:sz w:val="24"/>
          <w:szCs w:val="24"/>
          <w:highlight w:val="none"/>
          <w:lang w:eastAsia="zh-CN"/>
        </w:rPr>
        <w:t>新疆久疆源创营销策划有限公司</w:t>
      </w:r>
    </w:p>
    <w:p w14:paraId="3A5D1BB0">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统一社会信用代码：91650106MA79L8UQ8H</w:t>
      </w:r>
    </w:p>
    <w:p w14:paraId="3A81F1EA">
      <w:pPr>
        <w:wordWrap w:val="0"/>
        <w:spacing w:line="360" w:lineRule="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详细地址：</w:t>
      </w:r>
      <w:r>
        <w:rPr>
          <w:rFonts w:hint="eastAsia"/>
        </w:rPr>
        <w:t>新疆乌鲁木齐高新区(新市区)苏州东街255号百商国际C栋1单元1610室电话：0991—6655764</w:t>
      </w:r>
      <w:r>
        <w:rPr>
          <w:rFonts w:hint="eastAsia" w:ascii="仿宋" w:hAnsi="仿宋" w:eastAsia="仿宋" w:cs="仿宋"/>
          <w:bCs/>
          <w:color w:val="auto"/>
          <w:sz w:val="24"/>
          <w:szCs w:val="24"/>
          <w:highlight w:val="none"/>
        </w:rPr>
        <w:t>)</w:t>
      </w:r>
    </w:p>
    <w:p w14:paraId="03A36A07">
      <w:pPr>
        <w:wordWrap w:val="0"/>
        <w:spacing w:line="360" w:lineRule="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开户行：</w:t>
      </w:r>
      <w:r>
        <w:rPr>
          <w:rFonts w:hint="eastAsia"/>
        </w:rPr>
        <w:t>华夏银行股份有限公司乌鲁木齐长春路支行</w:t>
      </w:r>
    </w:p>
    <w:p w14:paraId="2AA0B2D6">
      <w:pPr>
        <w:wordWrap w:val="0"/>
        <w:spacing w:line="360" w:lineRule="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账户：</w:t>
      </w:r>
      <w:r>
        <w:rPr>
          <w:rFonts w:hint="eastAsia"/>
        </w:rPr>
        <w:t>11559000000010743</w:t>
      </w:r>
    </w:p>
    <w:p w14:paraId="4E4F1F25">
      <w:pPr>
        <w:wordWrap w:val="0"/>
        <w:spacing w:line="360" w:lineRule="auto"/>
        <w:rPr>
          <w:rFonts w:hint="eastAsia" w:ascii="仿宋" w:hAnsi="仿宋" w:eastAsia="仿宋" w:cs="仿宋"/>
          <w:bCs/>
          <w:color w:val="auto"/>
          <w:sz w:val="24"/>
          <w:szCs w:val="24"/>
          <w:highlight w:val="none"/>
        </w:rPr>
      </w:pPr>
    </w:p>
    <w:p w14:paraId="553F4FD8">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乙方法人代表（</w:t>
      </w:r>
      <w:r>
        <w:rPr>
          <w:rFonts w:hint="eastAsia" w:ascii="仿宋" w:hAnsi="仿宋" w:eastAsia="仿宋" w:cs="仿宋"/>
          <w:bCs/>
          <w:color w:val="auto"/>
          <w:sz w:val="24"/>
          <w:szCs w:val="24"/>
          <w:highlight w:val="none"/>
          <w:lang w:val="en-US" w:eastAsia="zh-CN"/>
        </w:rPr>
        <w:t>罗海明</w:t>
      </w:r>
      <w:r>
        <w:rPr>
          <w:rFonts w:hint="eastAsia" w:ascii="仿宋" w:hAnsi="仿宋" w:eastAsia="仿宋" w:cs="仿宋"/>
          <w:bCs/>
          <w:color w:val="auto"/>
          <w:sz w:val="24"/>
          <w:szCs w:val="24"/>
          <w:highlight w:val="none"/>
        </w:rPr>
        <w:t>）面签或私章：</w:t>
      </w:r>
    </w:p>
    <w:p w14:paraId="0BC98AAE">
      <w:pPr>
        <w:wordWrap w:val="0"/>
        <w:spacing w:line="360" w:lineRule="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联系方式（含单位）：</w:t>
      </w:r>
      <w:r>
        <w:rPr>
          <w:rFonts w:hint="eastAsia" w:ascii="仿宋" w:hAnsi="仿宋" w:eastAsia="仿宋" w:cs="仿宋"/>
          <w:bCs/>
          <w:color w:val="auto"/>
          <w:sz w:val="24"/>
          <w:szCs w:val="24"/>
          <w:highlight w:val="none"/>
          <w:lang w:val="en-US" w:eastAsia="zh-CN"/>
        </w:rPr>
        <w:t>15276655660</w:t>
      </w:r>
    </w:p>
    <w:p w14:paraId="4A22F691">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邮箱号：</w:t>
      </w:r>
      <w:r>
        <w:rPr>
          <w:rFonts w:hint="eastAsia" w:ascii="仿宋" w:hAnsi="仿宋" w:eastAsia="仿宋" w:cs="仿宋"/>
          <w:bCs/>
          <w:color w:val="auto"/>
          <w:sz w:val="24"/>
          <w:szCs w:val="24"/>
          <w:highlight w:val="none"/>
          <w:lang w:val="en-US" w:eastAsia="zh-CN"/>
        </w:rPr>
        <w:t>501370084</w:t>
      </w:r>
      <w:r>
        <w:rPr>
          <w:rFonts w:hint="eastAsia" w:ascii="仿宋" w:hAnsi="仿宋" w:eastAsia="仿宋" w:cs="仿宋"/>
          <w:bCs/>
          <w:color w:val="auto"/>
          <w:sz w:val="24"/>
          <w:szCs w:val="24"/>
          <w:highlight w:val="none"/>
        </w:rPr>
        <w:t>@qq.com</w:t>
      </w:r>
    </w:p>
    <w:p w14:paraId="6286829B">
      <w:pPr>
        <w:wordWrap w:val="0"/>
        <w:spacing w:line="360" w:lineRule="auto"/>
        <w:rPr>
          <w:rFonts w:hint="eastAsia" w:ascii="仿宋" w:hAnsi="仿宋" w:eastAsia="仿宋" w:cs="仿宋"/>
          <w:bCs/>
          <w:color w:val="auto"/>
          <w:sz w:val="24"/>
          <w:szCs w:val="24"/>
          <w:highlight w:val="none"/>
        </w:rPr>
      </w:pPr>
    </w:p>
    <w:p w14:paraId="0D35F23A">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乙方经办人（如有）（）面签：</w:t>
      </w:r>
    </w:p>
    <w:p w14:paraId="024D9C11">
      <w:pPr>
        <w:wordWrap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联系方式：</w:t>
      </w:r>
    </w:p>
    <w:p w14:paraId="00CD9FAA">
      <w:pPr>
        <w:pStyle w:val="3"/>
        <w:spacing w:line="360" w:lineRule="auto"/>
        <w:rPr>
          <w:rFonts w:hint="eastAsia" w:ascii="仿宋" w:hAnsi="仿宋" w:eastAsia="仿宋" w:cs="仿宋"/>
          <w:bCs/>
          <w:color w:val="auto"/>
          <w:szCs w:val="24"/>
          <w:highlight w:val="none"/>
        </w:rPr>
      </w:pPr>
    </w:p>
    <w:p w14:paraId="10A25EEE">
      <w:pPr>
        <w:pStyle w:val="3"/>
        <w:spacing w:line="360" w:lineRule="auto"/>
        <w:rPr>
          <w:rFonts w:hint="eastAsia" w:ascii="仿宋" w:hAnsi="仿宋" w:eastAsia="仿宋" w:cs="仿宋"/>
          <w:bCs/>
          <w:color w:val="auto"/>
          <w:szCs w:val="24"/>
          <w:highlight w:val="none"/>
        </w:rPr>
      </w:pPr>
    </w:p>
    <w:p w14:paraId="59F1E468">
      <w:pPr>
        <w:wordWrap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签订时间：202</w:t>
      </w:r>
      <w:r>
        <w:rPr>
          <w:rFonts w:hint="eastAsia" w:ascii="仿宋" w:hAnsi="仿宋" w:eastAsia="仿宋" w:cs="仿宋"/>
          <w:b/>
          <w:color w:val="auto"/>
          <w:sz w:val="24"/>
          <w:szCs w:val="24"/>
          <w:highlight w:val="none"/>
          <w:lang w:val="en-US" w:eastAsia="zh-CN"/>
        </w:rPr>
        <w:t>5</w:t>
      </w:r>
      <w:r>
        <w:rPr>
          <w:rFonts w:hint="eastAsia" w:ascii="仿宋" w:hAnsi="仿宋" w:eastAsia="仿宋" w:cs="仿宋"/>
          <w:b/>
          <w:color w:val="auto"/>
          <w:sz w:val="24"/>
          <w:szCs w:val="24"/>
          <w:highlight w:val="none"/>
        </w:rPr>
        <w:t>年</w:t>
      </w: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月</w:t>
      </w:r>
      <w:r>
        <w:rPr>
          <w:rFonts w:hint="eastAsia" w:ascii="仿宋" w:hAnsi="仿宋" w:eastAsia="仿宋" w:cs="仿宋"/>
          <w:b/>
          <w:color w:val="auto"/>
          <w:sz w:val="24"/>
          <w:szCs w:val="24"/>
          <w:highlight w:val="none"/>
          <w:lang w:val="en-US" w:eastAsia="zh-CN"/>
        </w:rPr>
        <w:t>6</w:t>
      </w:r>
      <w:r>
        <w:rPr>
          <w:rFonts w:hint="eastAsia" w:ascii="仿宋" w:hAnsi="仿宋" w:eastAsia="仿宋" w:cs="仿宋"/>
          <w:b/>
          <w:color w:val="auto"/>
          <w:sz w:val="24"/>
          <w:szCs w:val="24"/>
          <w:highlight w:val="none"/>
        </w:rPr>
        <w:t>日</w:t>
      </w:r>
    </w:p>
    <w:p w14:paraId="4708885F">
      <w:pPr>
        <w:wordWrap w:val="0"/>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r>
        <w:rPr>
          <w:rFonts w:hint="eastAsia" w:ascii="仿宋" w:hAnsi="仿宋" w:eastAsia="仿宋" w:cs="仿宋"/>
          <w:b/>
          <w:color w:val="auto"/>
          <w:sz w:val="24"/>
          <w:szCs w:val="24"/>
          <w:highlight w:val="none"/>
        </w:rPr>
        <w:t>附：乙方相关证件</w:t>
      </w:r>
    </w:p>
    <w:p w14:paraId="1055B3F6">
      <w:pPr>
        <w:wordWrap w:val="0"/>
        <w:spacing w:line="360" w:lineRule="auto"/>
        <w:jc w:val="both"/>
        <w:rPr>
          <w:rFonts w:hint="eastAsia" w:ascii="仿宋" w:hAnsi="仿宋" w:eastAsia="仿宋" w:cs="仿宋"/>
          <w:b/>
          <w:color w:val="auto"/>
          <w:sz w:val="24"/>
          <w:szCs w:val="24"/>
          <w:highlight w:val="none"/>
          <w:lang w:eastAsia="zh-CN"/>
        </w:rPr>
      </w:pPr>
      <w:r>
        <w:drawing>
          <wp:inline distT="0" distB="0" distL="114300" distR="114300">
            <wp:extent cx="5261610" cy="7447280"/>
            <wp:effectExtent l="0" t="0" r="1524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61610" cy="7447280"/>
                    </a:xfrm>
                    <a:prstGeom prst="rect">
                      <a:avLst/>
                    </a:prstGeom>
                    <a:noFill/>
                    <a:ln>
                      <a:noFill/>
                    </a:ln>
                  </pic:spPr>
                </pic:pic>
              </a:graphicData>
            </a:graphic>
          </wp:inline>
        </w:drawing>
      </w:r>
    </w:p>
    <w:p w14:paraId="63E26E9E">
      <w:pPr>
        <w:wordWrap w:val="0"/>
        <w:spacing w:line="360" w:lineRule="auto"/>
        <w:jc w:val="both"/>
        <w:rPr>
          <w:rFonts w:hint="eastAsia" w:ascii="仿宋" w:hAnsi="仿宋" w:eastAsia="仿宋" w:cs="仿宋"/>
          <w:b/>
          <w:color w:val="auto"/>
          <w:sz w:val="24"/>
          <w:szCs w:val="24"/>
          <w:highlight w:val="none"/>
        </w:rPr>
      </w:pPr>
    </w:p>
    <w:p w14:paraId="49B30EF4">
      <w:pPr>
        <w:bidi w:val="0"/>
        <w:jc w:val="center"/>
        <w:rPr>
          <w:rFonts w:hint="eastAsia" w:ascii="仿宋" w:hAnsi="仿宋" w:eastAsia="仿宋" w:cs="仿宋"/>
          <w:b/>
          <w:color w:val="auto"/>
          <w:sz w:val="24"/>
          <w:szCs w:val="24"/>
          <w:highlight w:val="none"/>
        </w:rPr>
      </w:pPr>
      <w:r>
        <w:drawing>
          <wp:inline distT="0" distB="0" distL="114300" distR="114300">
            <wp:extent cx="5267960" cy="7329170"/>
            <wp:effectExtent l="0" t="0" r="8890" b="5080"/>
            <wp:docPr id="11" name="图片 11" descr="03ef428fd88f0b5420916d7fab94c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3ef428fd88f0b5420916d7fab94ccf"/>
                    <pic:cNvPicPr>
                      <a:picLocks noChangeAspect="1"/>
                    </pic:cNvPicPr>
                  </pic:nvPicPr>
                  <pic:blipFill>
                    <a:blip r:embed="rId7"/>
                    <a:stretch>
                      <a:fillRect/>
                    </a:stretch>
                  </pic:blipFill>
                  <pic:spPr>
                    <a:xfrm>
                      <a:off x="0" y="0"/>
                      <a:ext cx="5267960" cy="7329170"/>
                    </a:xfrm>
                    <a:prstGeom prst="rect">
                      <a:avLst/>
                    </a:prstGeom>
                  </pic:spPr>
                </pic:pic>
              </a:graphicData>
            </a:graphic>
          </wp:inline>
        </w:drawing>
      </w:r>
      <w:r>
        <w:drawing>
          <wp:inline distT="0" distB="0" distL="114300" distR="114300">
            <wp:extent cx="4924425" cy="5648325"/>
            <wp:effectExtent l="0" t="0" r="9525" b="952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4924425" cy="5648325"/>
                    </a:xfrm>
                    <a:prstGeom prst="rect">
                      <a:avLst/>
                    </a:prstGeom>
                    <a:noFill/>
                    <a:ln>
                      <a:noFill/>
                    </a:ln>
                  </pic:spPr>
                </pic:pic>
              </a:graphicData>
            </a:graphic>
          </wp:inline>
        </w:drawing>
      </w:r>
    </w:p>
    <w:p w14:paraId="4CA0FFF1">
      <w:pPr>
        <w:bidi w:val="0"/>
        <w:jc w:val="both"/>
        <w:rPr>
          <w:rFonts w:hint="eastAsia" w:ascii="仿宋" w:hAnsi="仿宋" w:eastAsia="仿宋" w:cs="仿宋"/>
          <w:b/>
          <w:color w:val="auto"/>
          <w:sz w:val="24"/>
          <w:szCs w:val="24"/>
          <w:highlight w:val="none"/>
          <w:lang w:val="en-US" w:eastAsia="zh-CN"/>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696AD77B">
      <w:pPr>
        <w:bidi w:val="0"/>
        <w:jc w:val="both"/>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附件1：</w:t>
      </w:r>
    </w:p>
    <w:p w14:paraId="7C14388D">
      <w:pPr>
        <w:bidi w:val="0"/>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工程量清单及效果图</w:t>
      </w:r>
    </w:p>
    <w:tbl>
      <w:tblPr>
        <w:tblW w:w="13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64"/>
        <w:gridCol w:w="2143"/>
        <w:gridCol w:w="2349"/>
        <w:gridCol w:w="1364"/>
        <w:gridCol w:w="1364"/>
        <w:gridCol w:w="1364"/>
        <w:gridCol w:w="1364"/>
        <w:gridCol w:w="2248"/>
      </w:tblGrid>
      <w:tr w14:paraId="6F8B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7" w:hRule="atLeast"/>
        </w:trPr>
        <w:tc>
          <w:tcPr>
            <w:tcW w:w="13560" w:type="dxa"/>
            <w:gridSpan w:val="8"/>
            <w:tcBorders>
              <w:top w:val="single" w:color="000000" w:sz="4" w:space="0"/>
              <w:left w:val="single" w:color="000000" w:sz="4" w:space="0"/>
              <w:bottom w:val="single" w:color="000000" w:sz="4" w:space="0"/>
              <w:right w:val="single" w:color="000000" w:sz="4" w:space="0"/>
            </w:tcBorders>
            <w:shd w:val="clear"/>
            <w:noWrap/>
            <w:vAlign w:val="center"/>
          </w:tcPr>
          <w:p w14:paraId="5489CB3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通力元盛祥府更换刀刮布验收单</w:t>
            </w:r>
          </w:p>
        </w:tc>
      </w:tr>
      <w:tr w14:paraId="37D2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2" w:hRule="atLeast"/>
        </w:trPr>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0B41CA4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序号</w:t>
            </w:r>
          </w:p>
        </w:tc>
        <w:tc>
          <w:tcPr>
            <w:tcW w:w="2143" w:type="dxa"/>
            <w:tcBorders>
              <w:top w:val="single" w:color="000000" w:sz="4" w:space="0"/>
              <w:left w:val="single" w:color="000000" w:sz="4" w:space="0"/>
              <w:bottom w:val="single" w:color="000000" w:sz="4" w:space="0"/>
              <w:right w:val="single" w:color="000000" w:sz="4" w:space="0"/>
            </w:tcBorders>
            <w:shd w:val="clear"/>
            <w:vAlign w:val="center"/>
          </w:tcPr>
          <w:p w14:paraId="73269CE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项目</w:t>
            </w:r>
          </w:p>
        </w:tc>
        <w:tc>
          <w:tcPr>
            <w:tcW w:w="2349" w:type="dxa"/>
            <w:tcBorders>
              <w:top w:val="single" w:color="000000" w:sz="4" w:space="0"/>
              <w:left w:val="single" w:color="000000" w:sz="4" w:space="0"/>
              <w:bottom w:val="single" w:color="000000" w:sz="4" w:space="0"/>
              <w:right w:val="single" w:color="000000" w:sz="4" w:space="0"/>
            </w:tcBorders>
            <w:shd w:val="clear"/>
            <w:noWrap/>
            <w:vAlign w:val="center"/>
          </w:tcPr>
          <w:p w14:paraId="06D7838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产品图片</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7A6DD57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单位</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6CB09F0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数量</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074B907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价格</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04E67F3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合计</w:t>
            </w:r>
          </w:p>
        </w:tc>
        <w:tc>
          <w:tcPr>
            <w:tcW w:w="2248" w:type="dxa"/>
            <w:tcBorders>
              <w:top w:val="single" w:color="000000" w:sz="4" w:space="0"/>
              <w:left w:val="single" w:color="000000" w:sz="4" w:space="0"/>
              <w:bottom w:val="single" w:color="000000" w:sz="4" w:space="0"/>
              <w:right w:val="single" w:color="000000" w:sz="4" w:space="0"/>
            </w:tcBorders>
            <w:shd w:val="clear"/>
            <w:vAlign w:val="center"/>
          </w:tcPr>
          <w:p w14:paraId="2B087EF7">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bdr w:val="none" w:color="auto" w:sz="0" w:space="0"/>
                <w:lang w:val="en-US" w:eastAsia="zh-CN" w:bidi="ar"/>
              </w:rPr>
              <w:t>备注</w:t>
            </w:r>
          </w:p>
        </w:tc>
      </w:tr>
      <w:tr w14:paraId="669CD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8" w:hRule="atLeast"/>
        </w:trPr>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67994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2143" w:type="dxa"/>
            <w:tcBorders>
              <w:top w:val="single" w:color="000000" w:sz="4" w:space="0"/>
              <w:left w:val="single" w:color="000000" w:sz="4" w:space="0"/>
              <w:bottom w:val="single" w:color="000000" w:sz="4" w:space="0"/>
              <w:right w:val="single" w:color="000000" w:sz="4" w:space="0"/>
            </w:tcBorders>
            <w:shd w:val="clear"/>
            <w:vAlign w:val="center"/>
          </w:tcPr>
          <w:p w14:paraId="64DED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刀刮布</w:t>
            </w:r>
          </w:p>
        </w:tc>
        <w:tc>
          <w:tcPr>
            <w:tcW w:w="234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70E2772">
            <w:pPr>
              <w:jc w:val="center"/>
              <w:rPr>
                <w:rFonts w:hint="eastAsia" w:ascii="宋体" w:hAnsi="宋体" w:eastAsia="宋体" w:cs="宋体"/>
                <w:i w:val="0"/>
                <w:iCs w:val="0"/>
                <w:color w:val="000000"/>
                <w:sz w:val="22"/>
                <w:szCs w:val="22"/>
                <w:u w:val="none"/>
              </w:rPr>
            </w:pP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0FD49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平方</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3865B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69.3</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2145C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642EB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2772</w:t>
            </w:r>
          </w:p>
        </w:tc>
        <w:tc>
          <w:tcPr>
            <w:tcW w:w="2248" w:type="dxa"/>
            <w:tcBorders>
              <w:top w:val="single" w:color="000000" w:sz="4" w:space="0"/>
              <w:left w:val="single" w:color="000000" w:sz="4" w:space="0"/>
              <w:bottom w:val="single" w:color="000000" w:sz="4" w:space="0"/>
              <w:right w:val="single" w:color="000000" w:sz="4" w:space="0"/>
            </w:tcBorders>
            <w:shd w:val="clear"/>
            <w:vAlign w:val="center"/>
          </w:tcPr>
          <w:p w14:paraId="4D916A50">
            <w:pPr>
              <w:jc w:val="center"/>
              <w:rPr>
                <w:rFonts w:hint="eastAsia" w:ascii="宋体" w:hAnsi="宋体" w:eastAsia="宋体" w:cs="宋体"/>
                <w:i w:val="0"/>
                <w:iCs w:val="0"/>
                <w:color w:val="000000"/>
                <w:sz w:val="20"/>
                <w:szCs w:val="20"/>
                <w:u w:val="none"/>
              </w:rPr>
            </w:pPr>
          </w:p>
        </w:tc>
      </w:tr>
      <w:tr w14:paraId="2255F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2" w:hRule="atLeast"/>
        </w:trPr>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7472C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2143" w:type="dxa"/>
            <w:tcBorders>
              <w:top w:val="single" w:color="000000" w:sz="4" w:space="0"/>
              <w:left w:val="single" w:color="000000" w:sz="4" w:space="0"/>
              <w:bottom w:val="single" w:color="000000" w:sz="4" w:space="0"/>
              <w:right w:val="single" w:color="000000" w:sz="4" w:space="0"/>
            </w:tcBorders>
            <w:shd w:val="clear"/>
            <w:vAlign w:val="center"/>
          </w:tcPr>
          <w:p w14:paraId="7FE6C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人工安装费</w:t>
            </w:r>
          </w:p>
        </w:tc>
        <w:tc>
          <w:tcPr>
            <w:tcW w:w="234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395ED3">
            <w:pPr>
              <w:jc w:val="center"/>
              <w:rPr>
                <w:rFonts w:hint="eastAsia" w:ascii="宋体" w:hAnsi="宋体" w:eastAsia="宋体" w:cs="宋体"/>
                <w:i w:val="0"/>
                <w:iCs w:val="0"/>
                <w:color w:val="000000"/>
                <w:sz w:val="22"/>
                <w:szCs w:val="22"/>
                <w:u w:val="none"/>
              </w:rPr>
            </w:pP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1EBE8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42297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03BB9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600</w:t>
            </w:r>
          </w:p>
        </w:tc>
        <w:tc>
          <w:tcPr>
            <w:tcW w:w="1364" w:type="dxa"/>
            <w:tcBorders>
              <w:top w:val="single" w:color="000000" w:sz="4" w:space="0"/>
              <w:left w:val="single" w:color="000000" w:sz="4" w:space="0"/>
              <w:bottom w:val="single" w:color="000000" w:sz="4" w:space="0"/>
              <w:right w:val="single" w:color="000000" w:sz="4" w:space="0"/>
            </w:tcBorders>
            <w:shd w:val="clear"/>
            <w:noWrap/>
            <w:vAlign w:val="center"/>
          </w:tcPr>
          <w:p w14:paraId="3865F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1800</w:t>
            </w:r>
          </w:p>
        </w:tc>
        <w:tc>
          <w:tcPr>
            <w:tcW w:w="2248" w:type="dxa"/>
            <w:tcBorders>
              <w:top w:val="single" w:color="000000" w:sz="4" w:space="0"/>
              <w:left w:val="single" w:color="000000" w:sz="4" w:space="0"/>
              <w:bottom w:val="single" w:color="000000" w:sz="4" w:space="0"/>
              <w:right w:val="single" w:color="000000" w:sz="4" w:space="0"/>
            </w:tcBorders>
            <w:shd w:val="clear"/>
            <w:vAlign w:val="center"/>
          </w:tcPr>
          <w:p w14:paraId="3A62D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高空</w:t>
            </w:r>
          </w:p>
        </w:tc>
      </w:tr>
      <w:tr w14:paraId="521A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6" w:hRule="atLeast"/>
        </w:trPr>
        <w:tc>
          <w:tcPr>
            <w:tcW w:w="8584" w:type="dxa"/>
            <w:gridSpan w:val="5"/>
            <w:tcBorders>
              <w:top w:val="single" w:color="000000" w:sz="4" w:space="0"/>
              <w:left w:val="single" w:color="000000" w:sz="4" w:space="0"/>
              <w:bottom w:val="single" w:color="000000" w:sz="4" w:space="0"/>
              <w:right w:val="single" w:color="000000" w:sz="4" w:space="0"/>
            </w:tcBorders>
            <w:shd w:val="clear"/>
            <w:noWrap/>
            <w:vAlign w:val="center"/>
          </w:tcPr>
          <w:p w14:paraId="56725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4976"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C39A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4572 </w:t>
            </w:r>
          </w:p>
        </w:tc>
      </w:tr>
      <w:tr w14:paraId="40B3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6" w:hRule="atLeast"/>
        </w:trPr>
        <w:tc>
          <w:tcPr>
            <w:tcW w:w="8584" w:type="dxa"/>
            <w:gridSpan w:val="5"/>
            <w:tcBorders>
              <w:top w:val="single" w:color="000000" w:sz="4" w:space="0"/>
              <w:left w:val="single" w:color="000000" w:sz="4" w:space="0"/>
              <w:bottom w:val="single" w:color="000000" w:sz="4" w:space="0"/>
              <w:right w:val="single" w:color="000000" w:sz="4" w:space="0"/>
            </w:tcBorders>
            <w:shd w:val="clear"/>
            <w:noWrap/>
            <w:vAlign w:val="center"/>
          </w:tcPr>
          <w:p w14:paraId="30B8D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税金（6%）</w:t>
            </w:r>
          </w:p>
        </w:tc>
        <w:tc>
          <w:tcPr>
            <w:tcW w:w="4976"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1ABE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274 </w:t>
            </w:r>
          </w:p>
        </w:tc>
      </w:tr>
      <w:tr w14:paraId="6474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6" w:hRule="atLeast"/>
        </w:trPr>
        <w:tc>
          <w:tcPr>
            <w:tcW w:w="8584" w:type="dxa"/>
            <w:gridSpan w:val="5"/>
            <w:tcBorders>
              <w:top w:val="single" w:color="000000" w:sz="4" w:space="0"/>
              <w:left w:val="single" w:color="000000" w:sz="4" w:space="0"/>
              <w:bottom w:val="single" w:color="000000" w:sz="4" w:space="0"/>
              <w:right w:val="single" w:color="000000" w:sz="4" w:space="0"/>
            </w:tcBorders>
            <w:shd w:val="clear"/>
            <w:noWrap/>
            <w:vAlign w:val="center"/>
          </w:tcPr>
          <w:p w14:paraId="1677E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价税合计</w:t>
            </w:r>
          </w:p>
        </w:tc>
        <w:tc>
          <w:tcPr>
            <w:tcW w:w="4976"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AEE2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4846 </w:t>
            </w:r>
          </w:p>
        </w:tc>
      </w:tr>
    </w:tbl>
    <w:p w14:paraId="4326E8F5">
      <w:pPr>
        <w:bidi w:val="0"/>
        <w:jc w:val="center"/>
        <w:rPr>
          <w:rFonts w:hint="default" w:ascii="仿宋" w:hAnsi="仿宋" w:eastAsia="仿宋" w:cs="仿宋"/>
          <w:b/>
          <w:color w:val="auto"/>
          <w:sz w:val="24"/>
          <w:szCs w:val="24"/>
          <w:highlight w:val="none"/>
          <w:lang w:val="en-US" w:eastAsia="zh-CN"/>
        </w:rPr>
      </w:pPr>
    </w:p>
    <w:p w14:paraId="25BA9B0D">
      <w:pPr>
        <w:bidi w:val="0"/>
        <w:jc w:val="center"/>
        <w:rPr>
          <w:rFonts w:hint="default" w:ascii="仿宋" w:hAnsi="仿宋" w:eastAsia="仿宋" w:cs="仿宋"/>
          <w:b/>
          <w:color w:val="auto"/>
          <w:sz w:val="24"/>
          <w:szCs w:val="24"/>
          <w:highlight w:val="none"/>
          <w:lang w:val="en-US" w:eastAsia="zh-CN"/>
        </w:rPr>
      </w:pPr>
    </w:p>
    <w:p w14:paraId="0E69140D">
      <w:pPr>
        <w:bidi w:val="0"/>
        <w:jc w:val="center"/>
        <w:rPr>
          <w:rFonts w:hint="default" w:ascii="仿宋" w:hAnsi="仿宋" w:eastAsia="仿宋" w:cs="仿宋"/>
          <w:b/>
          <w:color w:val="auto"/>
          <w:sz w:val="24"/>
          <w:szCs w:val="24"/>
          <w:highlight w:val="none"/>
          <w:lang w:val="en-US" w:eastAsia="zh-CN"/>
        </w:rPr>
      </w:pPr>
    </w:p>
    <w:p w14:paraId="5A657795">
      <w:pPr>
        <w:bidi w:val="0"/>
        <w:jc w:val="center"/>
        <w:rPr>
          <w:rFonts w:hint="default" w:ascii="仿宋" w:hAnsi="仿宋" w:eastAsia="仿宋" w:cs="仿宋"/>
          <w:b/>
          <w:color w:val="auto"/>
          <w:sz w:val="24"/>
          <w:szCs w:val="24"/>
          <w:highlight w:val="none"/>
          <w:lang w:val="en-US" w:eastAsia="zh-CN"/>
        </w:rPr>
      </w:pPr>
    </w:p>
    <w:p w14:paraId="5D065C95">
      <w:pPr>
        <w:bidi w:val="0"/>
        <w:jc w:val="center"/>
        <w:rPr>
          <w:rFonts w:hint="default" w:ascii="仿宋" w:hAnsi="仿宋" w:eastAsia="仿宋" w:cs="仿宋"/>
          <w:b/>
          <w:color w:val="auto"/>
          <w:sz w:val="24"/>
          <w:szCs w:val="24"/>
          <w:highlight w:val="none"/>
          <w:lang w:val="en-US" w:eastAsia="zh-CN"/>
        </w:rPr>
      </w:pPr>
    </w:p>
    <w:tbl>
      <w:tblPr>
        <w:tblW w:w="115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376"/>
        <w:gridCol w:w="668"/>
        <w:gridCol w:w="1350"/>
        <w:gridCol w:w="1005"/>
        <w:gridCol w:w="660"/>
        <w:gridCol w:w="1096"/>
        <w:gridCol w:w="478"/>
        <w:gridCol w:w="779"/>
        <w:gridCol w:w="527"/>
        <w:gridCol w:w="571"/>
        <w:gridCol w:w="453"/>
        <w:gridCol w:w="670"/>
        <w:gridCol w:w="726"/>
        <w:gridCol w:w="1070"/>
        <w:gridCol w:w="710"/>
        <w:gridCol w:w="400"/>
      </w:tblGrid>
      <w:tr w14:paraId="26D8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Before w:val="6"/>
          <w:wBefore w:w="5155" w:type="dxa"/>
          <w:wAfter w:w="0" w:type="auto"/>
          <w:trHeight w:val="483" w:hRule="atLeast"/>
          <w:jc w:val="center"/>
        </w:trPr>
        <w:tc>
          <w:tcPr>
            <w:tcW w:w="6384" w:type="dxa"/>
            <w:gridSpan w:val="10"/>
            <w:tcBorders>
              <w:top w:val="nil"/>
              <w:left w:val="nil"/>
              <w:bottom w:val="nil"/>
              <w:right w:val="nil"/>
            </w:tcBorders>
            <w:shd w:val="clear" w:color="auto" w:fill="FFFFFF"/>
            <w:noWrap/>
            <w:vAlign w:val="center"/>
          </w:tcPr>
          <w:p w14:paraId="0D3CD1EA">
            <w:pPr>
              <w:keepNext w:val="0"/>
              <w:keepLines w:val="0"/>
              <w:widowControl/>
              <w:suppressLineNumbers w:val="0"/>
              <w:jc w:val="center"/>
              <w:textAlignment w:val="center"/>
              <w:rPr>
                <w:rFonts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元盛祥府发光字验收单</w:t>
            </w:r>
          </w:p>
        </w:tc>
      </w:tr>
      <w:tr w14:paraId="1C4A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Before w:val="6"/>
          <w:wBefore w:w="5155" w:type="dxa"/>
          <w:wAfter w:w="0" w:type="auto"/>
          <w:trHeight w:val="1499"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A8D18C"/>
            <w:noWrap/>
            <w:vAlign w:val="center"/>
          </w:tcPr>
          <w:p w14:paraId="43113DD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lang w:val="en-US" w:eastAsia="zh-CN"/>
              </w:rPr>
            </w:pPr>
            <w:r>
              <w:rPr>
                <w:rFonts w:hint="eastAsia" w:ascii="微软雅黑" w:hAnsi="微软雅黑" w:eastAsia="微软雅黑" w:cs="微软雅黑"/>
                <w:i w:val="0"/>
                <w:iCs w:val="0"/>
                <w:color w:val="000000"/>
                <w:sz w:val="15"/>
                <w:szCs w:val="15"/>
                <w:u w:val="none"/>
                <w:lang w:val="en-US" w:eastAsia="zh-CN"/>
              </w:rPr>
              <w:t xml:space="preserve"> </w:t>
            </w:r>
          </w:p>
          <w:p w14:paraId="768815BF">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p>
          <w:p w14:paraId="65D3055F">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lang w:val="en-US" w:eastAsia="zh-CN"/>
              </w:rPr>
            </w:pPr>
          </w:p>
        </w:tc>
        <w:tc>
          <w:tcPr>
            <w:tcW w:w="779" w:type="dxa"/>
            <w:tcBorders>
              <w:top w:val="single" w:color="000000" w:sz="4" w:space="0"/>
              <w:left w:val="single" w:color="000000" w:sz="4" w:space="0"/>
              <w:bottom w:val="single" w:color="000000" w:sz="4" w:space="0"/>
              <w:right w:val="single" w:color="000000" w:sz="4" w:space="0"/>
            </w:tcBorders>
            <w:shd w:val="clear" w:color="auto" w:fill="A8D18C"/>
            <w:noWrap/>
            <w:vAlign w:val="center"/>
          </w:tcPr>
          <w:p w14:paraId="593765D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名称</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A8D18C"/>
            <w:vAlign w:val="center"/>
          </w:tcPr>
          <w:p w14:paraId="36F2890B">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品牌/规格（mm）</w:t>
            </w:r>
          </w:p>
        </w:tc>
        <w:tc>
          <w:tcPr>
            <w:tcW w:w="453" w:type="dxa"/>
            <w:tcBorders>
              <w:top w:val="single" w:color="000000" w:sz="4" w:space="0"/>
              <w:left w:val="single" w:color="000000" w:sz="4" w:space="0"/>
              <w:bottom w:val="single" w:color="000000" w:sz="4" w:space="0"/>
              <w:right w:val="single" w:color="000000" w:sz="4" w:space="0"/>
            </w:tcBorders>
            <w:shd w:val="clear" w:color="auto" w:fill="A8D18C"/>
            <w:noWrap/>
            <w:vAlign w:val="center"/>
          </w:tcPr>
          <w:p w14:paraId="07139DD6">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单位</w:t>
            </w:r>
          </w:p>
        </w:tc>
        <w:tc>
          <w:tcPr>
            <w:tcW w:w="670" w:type="dxa"/>
            <w:tcBorders>
              <w:top w:val="single" w:color="000000" w:sz="4" w:space="0"/>
              <w:left w:val="single" w:color="000000" w:sz="4" w:space="0"/>
              <w:bottom w:val="single" w:color="000000" w:sz="4" w:space="0"/>
              <w:right w:val="single" w:color="000000" w:sz="4" w:space="0"/>
            </w:tcBorders>
            <w:shd w:val="clear" w:color="auto" w:fill="A8D18C"/>
            <w:noWrap/>
            <w:vAlign w:val="center"/>
          </w:tcPr>
          <w:p w14:paraId="13E85ED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数量</w:t>
            </w:r>
          </w:p>
        </w:tc>
        <w:tc>
          <w:tcPr>
            <w:tcW w:w="726" w:type="dxa"/>
            <w:tcBorders>
              <w:top w:val="single" w:color="000000" w:sz="4" w:space="0"/>
              <w:left w:val="single" w:color="000000" w:sz="4" w:space="0"/>
              <w:bottom w:val="single" w:color="000000" w:sz="4" w:space="0"/>
              <w:right w:val="single" w:color="000000" w:sz="4" w:space="0"/>
            </w:tcBorders>
            <w:shd w:val="clear" w:color="auto" w:fill="A8D18C"/>
            <w:noWrap/>
            <w:vAlign w:val="center"/>
          </w:tcPr>
          <w:p w14:paraId="0116CE4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单价（元）</w:t>
            </w:r>
          </w:p>
        </w:tc>
        <w:tc>
          <w:tcPr>
            <w:tcW w:w="1070" w:type="dxa"/>
            <w:tcBorders>
              <w:top w:val="single" w:color="000000" w:sz="4" w:space="0"/>
              <w:left w:val="single" w:color="000000" w:sz="4" w:space="0"/>
              <w:bottom w:val="single" w:color="000000" w:sz="4" w:space="0"/>
              <w:right w:val="single" w:color="000000" w:sz="4" w:space="0"/>
            </w:tcBorders>
            <w:shd w:val="clear" w:color="auto" w:fill="A8D18C"/>
            <w:noWrap/>
            <w:vAlign w:val="center"/>
          </w:tcPr>
          <w:p w14:paraId="351F744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总价（元）</w:t>
            </w:r>
          </w:p>
        </w:tc>
        <w:tc>
          <w:tcPr>
            <w:tcW w:w="1110" w:type="dxa"/>
            <w:gridSpan w:val="2"/>
            <w:tcBorders>
              <w:top w:val="nil"/>
              <w:left w:val="single" w:color="000000" w:sz="4" w:space="0"/>
              <w:bottom w:val="single" w:color="000000" w:sz="4" w:space="0"/>
              <w:right w:val="single" w:color="000000" w:sz="4" w:space="0"/>
            </w:tcBorders>
            <w:shd w:val="clear" w:color="auto" w:fill="A8D18C"/>
            <w:vAlign w:val="center"/>
          </w:tcPr>
          <w:p w14:paraId="7CA1B42C">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材料</w:t>
            </w:r>
          </w:p>
        </w:tc>
      </w:tr>
      <w:tr w14:paraId="28FC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2192"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3474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 xml:space="preserve"> 1</w:t>
            </w:r>
          </w:p>
        </w:tc>
        <w:tc>
          <w:tcPr>
            <w:tcW w:w="779" w:type="dxa"/>
            <w:tcBorders>
              <w:top w:val="single" w:color="000000" w:sz="4" w:space="0"/>
              <w:left w:val="single" w:color="000000" w:sz="4" w:space="0"/>
              <w:bottom w:val="single" w:color="000000" w:sz="4" w:space="0"/>
              <w:right w:val="single" w:color="000000" w:sz="4" w:space="0"/>
            </w:tcBorders>
            <w:shd w:val="clear"/>
            <w:vAlign w:val="center"/>
          </w:tcPr>
          <w:p w14:paraId="2867B7CE">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不锈钢包边字（元盛祥府）</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52D31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2.89*4</w:t>
            </w:r>
          </w:p>
        </w:tc>
        <w:tc>
          <w:tcPr>
            <w:tcW w:w="453" w:type="dxa"/>
            <w:tcBorders>
              <w:top w:val="single" w:color="000000" w:sz="4" w:space="0"/>
              <w:left w:val="single" w:color="000000" w:sz="4" w:space="0"/>
              <w:bottom w:val="single" w:color="000000" w:sz="4" w:space="0"/>
              <w:right w:val="single" w:color="000000" w:sz="4" w:space="0"/>
            </w:tcBorders>
            <w:shd w:val="clear"/>
            <w:vAlign w:val="center"/>
          </w:tcPr>
          <w:p w14:paraId="1015DBB2">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平方</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797F2">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11.56</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71F4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450</w:t>
            </w:r>
          </w:p>
        </w:tc>
        <w:tc>
          <w:tcPr>
            <w:tcW w:w="1070" w:type="dxa"/>
            <w:tcBorders>
              <w:top w:val="single" w:color="000000" w:sz="4" w:space="0"/>
              <w:left w:val="single" w:color="000000" w:sz="4" w:space="0"/>
              <w:bottom w:val="single" w:color="000000" w:sz="4" w:space="0"/>
              <w:right w:val="single" w:color="000000" w:sz="4" w:space="0"/>
            </w:tcBorders>
            <w:shd w:val="clear"/>
            <w:vAlign w:val="center"/>
          </w:tcPr>
          <w:p w14:paraId="7289320F">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5202</w:t>
            </w:r>
          </w:p>
        </w:tc>
        <w:tc>
          <w:tcPr>
            <w:tcW w:w="1110" w:type="dxa"/>
            <w:gridSpan w:val="2"/>
            <w:tcBorders>
              <w:top w:val="single" w:color="000000" w:sz="4" w:space="0"/>
              <w:left w:val="single" w:color="000000" w:sz="4" w:space="0"/>
              <w:bottom w:val="nil"/>
              <w:right w:val="single" w:color="000000" w:sz="4" w:space="0"/>
            </w:tcBorders>
            <w:shd w:val="clear" w:color="auto" w:fill="FFFFFF"/>
            <w:vAlign w:val="center"/>
          </w:tcPr>
          <w:p w14:paraId="718E520F">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营销中心及电话号码为不锈钢包边字，玫瑰金拉丝包边，亚克力封面，箱体厚度8CM，白光</w:t>
            </w:r>
          </w:p>
        </w:tc>
      </w:tr>
      <w:tr w14:paraId="000A5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Before w:val="6"/>
          <w:wBefore w:w="5155" w:type="dxa"/>
          <w:wAfter w:w="0" w:type="auto"/>
          <w:trHeight w:val="531"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25B63">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2</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3B2CA">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字背架</w:t>
            </w:r>
          </w:p>
        </w:tc>
        <w:tc>
          <w:tcPr>
            <w:tcW w:w="1098" w:type="dxa"/>
            <w:gridSpan w:val="2"/>
            <w:tcBorders>
              <w:top w:val="single" w:color="000000" w:sz="4" w:space="0"/>
              <w:left w:val="single" w:color="000000" w:sz="4" w:space="0"/>
              <w:bottom w:val="single" w:color="000000" w:sz="4" w:space="0"/>
              <w:right w:val="single" w:color="000000" w:sz="4" w:space="0"/>
            </w:tcBorders>
            <w:shd w:val="clear"/>
            <w:vAlign w:val="center"/>
          </w:tcPr>
          <w:p w14:paraId="665D499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30*30*2mm</w:t>
            </w: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259D1">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根</w:t>
            </w:r>
          </w:p>
        </w:tc>
        <w:tc>
          <w:tcPr>
            <w:tcW w:w="670" w:type="dxa"/>
            <w:tcBorders>
              <w:top w:val="single" w:color="000000" w:sz="4" w:space="0"/>
              <w:left w:val="single" w:color="000000" w:sz="4" w:space="0"/>
              <w:bottom w:val="single" w:color="000000" w:sz="4" w:space="0"/>
              <w:right w:val="single" w:color="000000" w:sz="4" w:space="0"/>
            </w:tcBorders>
            <w:shd w:val="clear"/>
            <w:vAlign w:val="center"/>
          </w:tcPr>
          <w:p w14:paraId="48489722">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16</w:t>
            </w:r>
          </w:p>
        </w:tc>
        <w:tc>
          <w:tcPr>
            <w:tcW w:w="726" w:type="dxa"/>
            <w:tcBorders>
              <w:top w:val="single" w:color="000000" w:sz="4" w:space="0"/>
              <w:left w:val="single" w:color="000000" w:sz="4" w:space="0"/>
              <w:bottom w:val="single" w:color="000000" w:sz="4" w:space="0"/>
              <w:right w:val="single" w:color="000000" w:sz="4" w:space="0"/>
            </w:tcBorders>
            <w:shd w:val="clear"/>
            <w:vAlign w:val="center"/>
          </w:tcPr>
          <w:p w14:paraId="20C5FA23">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41.1</w:t>
            </w:r>
          </w:p>
        </w:tc>
        <w:tc>
          <w:tcPr>
            <w:tcW w:w="1070" w:type="dxa"/>
            <w:tcBorders>
              <w:top w:val="nil"/>
              <w:left w:val="nil"/>
              <w:bottom w:val="single" w:color="000000" w:sz="4" w:space="0"/>
              <w:right w:val="nil"/>
            </w:tcBorders>
            <w:shd w:val="clear"/>
            <w:vAlign w:val="center"/>
          </w:tcPr>
          <w:p w14:paraId="2A487DBC">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657.6</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2A611DD2">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30*30*2mm</w:t>
            </w:r>
          </w:p>
        </w:tc>
      </w:tr>
      <w:tr w14:paraId="1DA0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Before w:val="6"/>
          <w:wBefore w:w="5155" w:type="dxa"/>
          <w:wAfter w:w="0" w:type="auto"/>
          <w:trHeight w:val="101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053A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3</w:t>
            </w:r>
          </w:p>
        </w:tc>
        <w:tc>
          <w:tcPr>
            <w:tcW w:w="779" w:type="dxa"/>
            <w:tcBorders>
              <w:top w:val="single" w:color="000000" w:sz="4" w:space="0"/>
              <w:left w:val="single" w:color="000000" w:sz="4" w:space="0"/>
              <w:bottom w:val="single" w:color="000000" w:sz="4" w:space="0"/>
              <w:right w:val="single" w:color="000000" w:sz="4" w:space="0"/>
            </w:tcBorders>
            <w:shd w:val="clear"/>
            <w:vAlign w:val="center"/>
          </w:tcPr>
          <w:p w14:paraId="15C45283">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承重钢架</w:t>
            </w:r>
          </w:p>
        </w:tc>
        <w:tc>
          <w:tcPr>
            <w:tcW w:w="1098" w:type="dxa"/>
            <w:gridSpan w:val="2"/>
            <w:tcBorders>
              <w:top w:val="single" w:color="000000" w:sz="4" w:space="0"/>
              <w:left w:val="single" w:color="000000" w:sz="4" w:space="0"/>
              <w:bottom w:val="single" w:color="000000" w:sz="4" w:space="0"/>
              <w:right w:val="single" w:color="000000" w:sz="4" w:space="0"/>
            </w:tcBorders>
            <w:shd w:val="clear"/>
            <w:vAlign w:val="center"/>
          </w:tcPr>
          <w:p w14:paraId="069FC3E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80*60mm</w:t>
            </w: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A4CFD">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根</w:t>
            </w:r>
          </w:p>
        </w:tc>
        <w:tc>
          <w:tcPr>
            <w:tcW w:w="670" w:type="dxa"/>
            <w:tcBorders>
              <w:top w:val="single" w:color="000000" w:sz="4" w:space="0"/>
              <w:left w:val="single" w:color="000000" w:sz="4" w:space="0"/>
              <w:bottom w:val="single" w:color="000000" w:sz="4" w:space="0"/>
              <w:right w:val="single" w:color="000000" w:sz="4" w:space="0"/>
            </w:tcBorders>
            <w:shd w:val="clear"/>
            <w:vAlign w:val="center"/>
          </w:tcPr>
          <w:p w14:paraId="26875EF8">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8</w:t>
            </w:r>
          </w:p>
        </w:tc>
        <w:tc>
          <w:tcPr>
            <w:tcW w:w="726" w:type="dxa"/>
            <w:tcBorders>
              <w:top w:val="single" w:color="000000" w:sz="4" w:space="0"/>
              <w:left w:val="single" w:color="000000" w:sz="4" w:space="0"/>
              <w:bottom w:val="single" w:color="000000" w:sz="4" w:space="0"/>
              <w:right w:val="single" w:color="000000" w:sz="4" w:space="0"/>
            </w:tcBorders>
            <w:shd w:val="clear"/>
            <w:vAlign w:val="center"/>
          </w:tcPr>
          <w:p w14:paraId="36EE3DAD">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109.7</w:t>
            </w:r>
          </w:p>
        </w:tc>
        <w:tc>
          <w:tcPr>
            <w:tcW w:w="1070" w:type="dxa"/>
            <w:tcBorders>
              <w:top w:val="nil"/>
              <w:left w:val="nil"/>
              <w:bottom w:val="single" w:color="000000" w:sz="4" w:space="0"/>
              <w:right w:val="nil"/>
            </w:tcBorders>
            <w:shd w:val="clear"/>
            <w:vAlign w:val="center"/>
          </w:tcPr>
          <w:p w14:paraId="6EADFCE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877.6</w:t>
            </w:r>
          </w:p>
        </w:tc>
        <w:tc>
          <w:tcPr>
            <w:tcW w:w="1110" w:type="dxa"/>
            <w:gridSpan w:val="2"/>
            <w:tcBorders>
              <w:top w:val="nil"/>
              <w:left w:val="single" w:color="000000" w:sz="4" w:space="0"/>
              <w:bottom w:val="single" w:color="000000" w:sz="4" w:space="0"/>
              <w:right w:val="single" w:color="000000" w:sz="4" w:space="0"/>
            </w:tcBorders>
            <w:shd w:val="clear"/>
            <w:vAlign w:val="center"/>
          </w:tcPr>
          <w:p w14:paraId="01F44832">
            <w:pPr>
              <w:jc w:val="center"/>
              <w:rPr>
                <w:rFonts w:hint="eastAsia" w:ascii="微软雅黑" w:hAnsi="微软雅黑" w:eastAsia="微软雅黑" w:cs="微软雅黑"/>
                <w:i w:val="0"/>
                <w:iCs w:val="0"/>
                <w:color w:val="000000"/>
                <w:sz w:val="15"/>
                <w:szCs w:val="15"/>
                <w:u w:val="none"/>
              </w:rPr>
            </w:pPr>
          </w:p>
        </w:tc>
      </w:tr>
      <w:tr w14:paraId="437B1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Before w:val="6"/>
          <w:wBefore w:w="5155" w:type="dxa"/>
          <w:wAfter w:w="0" w:type="auto"/>
          <w:trHeight w:val="1099"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A139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4</w:t>
            </w:r>
          </w:p>
        </w:tc>
        <w:tc>
          <w:tcPr>
            <w:tcW w:w="779" w:type="dxa"/>
            <w:tcBorders>
              <w:top w:val="single" w:color="000000" w:sz="4" w:space="0"/>
              <w:left w:val="single" w:color="000000" w:sz="4" w:space="0"/>
              <w:bottom w:val="single" w:color="000000" w:sz="4" w:space="0"/>
              <w:right w:val="single" w:color="000000" w:sz="4" w:space="0"/>
            </w:tcBorders>
            <w:shd w:val="clear"/>
            <w:vAlign w:val="center"/>
          </w:tcPr>
          <w:p w14:paraId="1FDF684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软胶LED灯条</w:t>
            </w:r>
          </w:p>
        </w:tc>
        <w:tc>
          <w:tcPr>
            <w:tcW w:w="1098" w:type="dxa"/>
            <w:gridSpan w:val="2"/>
            <w:tcBorders>
              <w:top w:val="single" w:color="000000" w:sz="4" w:space="0"/>
              <w:left w:val="single" w:color="000000" w:sz="4" w:space="0"/>
              <w:bottom w:val="single" w:color="000000" w:sz="4" w:space="0"/>
              <w:right w:val="single" w:color="000000" w:sz="4" w:space="0"/>
            </w:tcBorders>
            <w:shd w:val="clear"/>
            <w:vAlign w:val="center"/>
          </w:tcPr>
          <w:p w14:paraId="1BF453E7">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D44D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米</w:t>
            </w:r>
          </w:p>
        </w:tc>
        <w:tc>
          <w:tcPr>
            <w:tcW w:w="670" w:type="dxa"/>
            <w:tcBorders>
              <w:top w:val="single" w:color="000000" w:sz="4" w:space="0"/>
              <w:left w:val="single" w:color="000000" w:sz="4" w:space="0"/>
              <w:bottom w:val="single" w:color="000000" w:sz="4" w:space="0"/>
              <w:right w:val="single" w:color="000000" w:sz="4" w:space="0"/>
            </w:tcBorders>
            <w:shd w:val="clear"/>
            <w:vAlign w:val="center"/>
          </w:tcPr>
          <w:p w14:paraId="01E4FDBB">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97.5</w:t>
            </w:r>
          </w:p>
        </w:tc>
        <w:tc>
          <w:tcPr>
            <w:tcW w:w="726" w:type="dxa"/>
            <w:tcBorders>
              <w:top w:val="single" w:color="000000" w:sz="4" w:space="0"/>
              <w:left w:val="single" w:color="000000" w:sz="4" w:space="0"/>
              <w:bottom w:val="single" w:color="000000" w:sz="4" w:space="0"/>
              <w:right w:val="single" w:color="000000" w:sz="4" w:space="0"/>
            </w:tcBorders>
            <w:shd w:val="clear"/>
            <w:vAlign w:val="center"/>
          </w:tcPr>
          <w:p w14:paraId="0F5DACB6">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14</w:t>
            </w:r>
          </w:p>
        </w:tc>
        <w:tc>
          <w:tcPr>
            <w:tcW w:w="1070" w:type="dxa"/>
            <w:tcBorders>
              <w:top w:val="nil"/>
              <w:left w:val="nil"/>
              <w:bottom w:val="single" w:color="000000" w:sz="4" w:space="0"/>
              <w:right w:val="nil"/>
            </w:tcBorders>
            <w:shd w:val="clear"/>
            <w:vAlign w:val="center"/>
          </w:tcPr>
          <w:p w14:paraId="5A203F4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1365</w:t>
            </w:r>
          </w:p>
        </w:tc>
        <w:tc>
          <w:tcPr>
            <w:tcW w:w="1110" w:type="dxa"/>
            <w:gridSpan w:val="2"/>
            <w:tcBorders>
              <w:top w:val="nil"/>
              <w:left w:val="single" w:color="000000" w:sz="4" w:space="0"/>
              <w:bottom w:val="single" w:color="000000" w:sz="4" w:space="0"/>
              <w:right w:val="single" w:color="000000" w:sz="4" w:space="0"/>
            </w:tcBorders>
            <w:shd w:val="clear"/>
            <w:vAlign w:val="center"/>
          </w:tcPr>
          <w:p w14:paraId="21CF5C3A">
            <w:pPr>
              <w:jc w:val="center"/>
              <w:rPr>
                <w:rFonts w:hint="eastAsia" w:ascii="微软雅黑" w:hAnsi="微软雅黑" w:eastAsia="微软雅黑" w:cs="微软雅黑"/>
                <w:i w:val="0"/>
                <w:iCs w:val="0"/>
                <w:color w:val="000000"/>
                <w:sz w:val="15"/>
                <w:szCs w:val="15"/>
                <w:u w:val="none"/>
              </w:rPr>
            </w:pPr>
          </w:p>
        </w:tc>
      </w:tr>
      <w:tr w14:paraId="436F0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837"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A03F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5</w:t>
            </w:r>
          </w:p>
        </w:tc>
        <w:tc>
          <w:tcPr>
            <w:tcW w:w="779" w:type="dxa"/>
            <w:tcBorders>
              <w:top w:val="single" w:color="000000" w:sz="4" w:space="0"/>
              <w:left w:val="single" w:color="000000" w:sz="4" w:space="0"/>
              <w:bottom w:val="single" w:color="000000" w:sz="4" w:space="0"/>
              <w:right w:val="single" w:color="000000" w:sz="4" w:space="0"/>
            </w:tcBorders>
            <w:shd w:val="clear"/>
            <w:vAlign w:val="center"/>
          </w:tcPr>
          <w:p w14:paraId="01DA1F6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LED红灯笼</w:t>
            </w:r>
          </w:p>
        </w:tc>
        <w:tc>
          <w:tcPr>
            <w:tcW w:w="1098" w:type="dxa"/>
            <w:gridSpan w:val="2"/>
            <w:tcBorders>
              <w:top w:val="single" w:color="000000" w:sz="4" w:space="0"/>
              <w:left w:val="single" w:color="000000" w:sz="4" w:space="0"/>
              <w:bottom w:val="single" w:color="000000" w:sz="4" w:space="0"/>
              <w:right w:val="single" w:color="000000" w:sz="4" w:space="0"/>
            </w:tcBorders>
            <w:shd w:val="clear"/>
            <w:vAlign w:val="center"/>
          </w:tcPr>
          <w:p w14:paraId="64D2CEC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直径1*1m</w:t>
            </w: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EC00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vAlign w:val="center"/>
          </w:tcPr>
          <w:p w14:paraId="5F617EBA">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shd w:val="clear"/>
            <w:vAlign w:val="center"/>
          </w:tcPr>
          <w:p w14:paraId="23D1042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1200</w:t>
            </w:r>
          </w:p>
        </w:tc>
        <w:tc>
          <w:tcPr>
            <w:tcW w:w="1070" w:type="dxa"/>
            <w:tcBorders>
              <w:top w:val="nil"/>
              <w:left w:val="nil"/>
              <w:bottom w:val="single" w:color="000000" w:sz="4" w:space="0"/>
              <w:right w:val="nil"/>
            </w:tcBorders>
            <w:shd w:val="clear"/>
            <w:vAlign w:val="center"/>
          </w:tcPr>
          <w:p w14:paraId="622E90CD">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2400</w:t>
            </w:r>
          </w:p>
        </w:tc>
        <w:tc>
          <w:tcPr>
            <w:tcW w:w="1110" w:type="dxa"/>
            <w:gridSpan w:val="2"/>
            <w:tcBorders>
              <w:top w:val="nil"/>
              <w:left w:val="single" w:color="000000" w:sz="4" w:space="0"/>
              <w:bottom w:val="single" w:color="000000" w:sz="4" w:space="0"/>
              <w:right w:val="single" w:color="000000" w:sz="4" w:space="0"/>
            </w:tcBorders>
            <w:shd w:val="clear"/>
            <w:vAlign w:val="center"/>
          </w:tcPr>
          <w:p w14:paraId="7F966357">
            <w:pPr>
              <w:jc w:val="center"/>
              <w:rPr>
                <w:rFonts w:hint="eastAsia" w:ascii="微软雅黑" w:hAnsi="微软雅黑" w:eastAsia="微软雅黑" w:cs="微软雅黑"/>
                <w:i w:val="0"/>
                <w:iCs w:val="0"/>
                <w:color w:val="000000"/>
                <w:sz w:val="15"/>
                <w:szCs w:val="15"/>
                <w:u w:val="none"/>
              </w:rPr>
            </w:pPr>
          </w:p>
        </w:tc>
      </w:tr>
      <w:tr w14:paraId="50FF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101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8BE5E">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6</w:t>
            </w:r>
          </w:p>
        </w:tc>
        <w:tc>
          <w:tcPr>
            <w:tcW w:w="779" w:type="dxa"/>
            <w:tcBorders>
              <w:top w:val="single" w:color="000000" w:sz="4" w:space="0"/>
              <w:left w:val="single" w:color="000000" w:sz="4" w:space="0"/>
              <w:bottom w:val="single" w:color="000000" w:sz="4" w:space="0"/>
              <w:right w:val="single" w:color="000000" w:sz="4" w:space="0"/>
            </w:tcBorders>
            <w:shd w:val="clear"/>
            <w:vAlign w:val="center"/>
          </w:tcPr>
          <w:p w14:paraId="159F590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LED直流电 源</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F2A855">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vAlign w:val="center"/>
          </w:tcPr>
          <w:p w14:paraId="08486F42">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台</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729BE">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6</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A08F6">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80</w:t>
            </w:r>
          </w:p>
        </w:tc>
        <w:tc>
          <w:tcPr>
            <w:tcW w:w="1070" w:type="dxa"/>
            <w:tcBorders>
              <w:top w:val="nil"/>
              <w:left w:val="nil"/>
              <w:bottom w:val="single" w:color="000000" w:sz="4" w:space="0"/>
              <w:right w:val="nil"/>
            </w:tcBorders>
            <w:shd w:val="clear"/>
            <w:vAlign w:val="center"/>
          </w:tcPr>
          <w:p w14:paraId="772DF8C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480</w:t>
            </w:r>
          </w:p>
        </w:tc>
        <w:tc>
          <w:tcPr>
            <w:tcW w:w="1110" w:type="dxa"/>
            <w:gridSpan w:val="2"/>
            <w:tcBorders>
              <w:top w:val="nil"/>
              <w:left w:val="single" w:color="000000" w:sz="4" w:space="0"/>
              <w:bottom w:val="single" w:color="000000" w:sz="4" w:space="0"/>
              <w:right w:val="single" w:color="000000" w:sz="4" w:space="0"/>
            </w:tcBorders>
            <w:shd w:val="clear" w:color="auto" w:fill="FFFFFF"/>
            <w:vAlign w:val="center"/>
          </w:tcPr>
          <w:p w14:paraId="560F19E4">
            <w:pPr>
              <w:jc w:val="center"/>
              <w:rPr>
                <w:rFonts w:hint="eastAsia" w:ascii="微软雅黑" w:hAnsi="微软雅黑" w:eastAsia="微软雅黑" w:cs="微软雅黑"/>
                <w:i w:val="0"/>
                <w:iCs w:val="0"/>
                <w:color w:val="000000"/>
                <w:sz w:val="15"/>
                <w:szCs w:val="15"/>
                <w:u w:val="none"/>
              </w:rPr>
            </w:pPr>
          </w:p>
        </w:tc>
      </w:tr>
      <w:tr w14:paraId="79C5E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31"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1B39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 xml:space="preserve"> 7</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BD68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电源线</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40A1C1">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6FAE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卷</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17EE0">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CA37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400</w:t>
            </w:r>
          </w:p>
        </w:tc>
        <w:tc>
          <w:tcPr>
            <w:tcW w:w="1070" w:type="dxa"/>
            <w:tcBorders>
              <w:top w:val="nil"/>
              <w:left w:val="nil"/>
              <w:bottom w:val="single" w:color="000000" w:sz="4" w:space="0"/>
              <w:right w:val="nil"/>
            </w:tcBorders>
            <w:shd w:val="clear"/>
            <w:vAlign w:val="center"/>
          </w:tcPr>
          <w:p w14:paraId="26C2493D">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1200</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EF5FC6">
            <w:pPr>
              <w:jc w:val="center"/>
              <w:rPr>
                <w:rFonts w:hint="eastAsia" w:ascii="微软雅黑" w:hAnsi="微软雅黑" w:eastAsia="微软雅黑" w:cs="微软雅黑"/>
                <w:i w:val="0"/>
                <w:iCs w:val="0"/>
                <w:color w:val="000000"/>
                <w:sz w:val="15"/>
                <w:szCs w:val="15"/>
                <w:u w:val="none"/>
              </w:rPr>
            </w:pPr>
          </w:p>
        </w:tc>
      </w:tr>
      <w:tr w14:paraId="60908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31"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F49D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8</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264D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配电箱</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BBD374">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035EA">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套</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8E70E">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93F3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400</w:t>
            </w:r>
          </w:p>
        </w:tc>
        <w:tc>
          <w:tcPr>
            <w:tcW w:w="1070" w:type="dxa"/>
            <w:tcBorders>
              <w:top w:val="nil"/>
              <w:left w:val="nil"/>
              <w:bottom w:val="single" w:color="000000" w:sz="4" w:space="0"/>
              <w:right w:val="nil"/>
            </w:tcBorders>
            <w:shd w:val="clear"/>
            <w:vAlign w:val="center"/>
          </w:tcPr>
          <w:p w14:paraId="32F38CC6">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800</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6816EA7F">
            <w:pPr>
              <w:jc w:val="center"/>
              <w:rPr>
                <w:rFonts w:hint="eastAsia" w:ascii="微软雅黑" w:hAnsi="微软雅黑" w:eastAsia="微软雅黑" w:cs="微软雅黑"/>
                <w:i w:val="0"/>
                <w:iCs w:val="0"/>
                <w:color w:val="000000"/>
                <w:sz w:val="15"/>
                <w:szCs w:val="15"/>
                <w:u w:val="none"/>
              </w:rPr>
            </w:pPr>
          </w:p>
        </w:tc>
      </w:tr>
      <w:tr w14:paraId="162F3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31"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0E531">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9</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F1B9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升降车</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26D131">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78632">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天</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3709D">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4</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40B8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200</w:t>
            </w:r>
          </w:p>
        </w:tc>
        <w:tc>
          <w:tcPr>
            <w:tcW w:w="1070" w:type="dxa"/>
            <w:tcBorders>
              <w:top w:val="nil"/>
              <w:left w:val="nil"/>
              <w:bottom w:val="single" w:color="000000" w:sz="4" w:space="0"/>
              <w:right w:val="nil"/>
            </w:tcBorders>
            <w:shd w:val="clear"/>
            <w:vAlign w:val="center"/>
          </w:tcPr>
          <w:p w14:paraId="3BFE001A">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800</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03AB52FE">
            <w:pPr>
              <w:jc w:val="center"/>
              <w:rPr>
                <w:rFonts w:hint="eastAsia" w:ascii="微软雅黑" w:hAnsi="微软雅黑" w:eastAsia="微软雅黑" w:cs="微软雅黑"/>
                <w:i w:val="0"/>
                <w:iCs w:val="0"/>
                <w:color w:val="000000"/>
                <w:sz w:val="15"/>
                <w:szCs w:val="15"/>
                <w:u w:val="none"/>
              </w:rPr>
            </w:pPr>
          </w:p>
        </w:tc>
      </w:tr>
      <w:tr w14:paraId="3BBE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31"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C7191">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10</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453B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运费</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27CDFB">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3C52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趟</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0329F">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B087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300</w:t>
            </w:r>
          </w:p>
        </w:tc>
        <w:tc>
          <w:tcPr>
            <w:tcW w:w="1070" w:type="dxa"/>
            <w:tcBorders>
              <w:top w:val="nil"/>
              <w:left w:val="nil"/>
              <w:bottom w:val="single" w:color="000000" w:sz="4" w:space="0"/>
              <w:right w:val="nil"/>
            </w:tcBorders>
            <w:shd w:val="clear"/>
            <w:vAlign w:val="center"/>
          </w:tcPr>
          <w:p w14:paraId="6102FFDA">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300</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43F93886">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材料运输</w:t>
            </w:r>
          </w:p>
        </w:tc>
      </w:tr>
      <w:tr w14:paraId="5B4CA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31"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0AD1E">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11</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B3304">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拖车</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556CF6">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EC453">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趟</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44AF1">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0F12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500</w:t>
            </w:r>
          </w:p>
        </w:tc>
        <w:tc>
          <w:tcPr>
            <w:tcW w:w="1070" w:type="dxa"/>
            <w:tcBorders>
              <w:top w:val="nil"/>
              <w:left w:val="nil"/>
              <w:bottom w:val="single" w:color="000000" w:sz="4" w:space="0"/>
              <w:right w:val="nil"/>
            </w:tcBorders>
            <w:shd w:val="clear"/>
            <w:vAlign w:val="center"/>
          </w:tcPr>
          <w:p w14:paraId="2B8B515F">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1000</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06588BEC">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升降车来回</w:t>
            </w:r>
          </w:p>
        </w:tc>
      </w:tr>
      <w:tr w14:paraId="7408B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1015" w:hRule="atLeast"/>
          <w:jc w:val="center"/>
        </w:trPr>
        <w:tc>
          <w:tcPr>
            <w:tcW w:w="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4499C">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12</w:t>
            </w:r>
          </w:p>
        </w:tc>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3CE7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安装人工</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D23894">
            <w:pPr>
              <w:jc w:val="center"/>
              <w:rPr>
                <w:rFonts w:hint="eastAsia" w:ascii="微软雅黑" w:hAnsi="微软雅黑" w:eastAsia="微软雅黑" w:cs="微软雅黑"/>
                <w:i w:val="0"/>
                <w:iCs w:val="0"/>
                <w:color w:val="000000"/>
                <w:sz w:val="15"/>
                <w:szCs w:val="15"/>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1B28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工</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E2345">
            <w:pPr>
              <w:keepNext w:val="0"/>
              <w:keepLines w:val="0"/>
              <w:widowControl/>
              <w:suppressLineNumbers w:val="0"/>
              <w:jc w:val="center"/>
              <w:textAlignment w:val="center"/>
              <w:rPr>
                <w:rFonts w:hint="eastAsia" w:ascii="微软雅黑" w:hAnsi="微软雅黑" w:eastAsia="微软雅黑" w:cs="微软雅黑"/>
                <w:i w:val="0"/>
                <w:iCs w:val="0"/>
                <w:color w:val="FF0000"/>
                <w:sz w:val="15"/>
                <w:szCs w:val="15"/>
                <w:u w:val="none"/>
              </w:rPr>
            </w:pPr>
            <w:r>
              <w:rPr>
                <w:rFonts w:hint="eastAsia" w:ascii="微软雅黑" w:hAnsi="微软雅黑" w:eastAsia="微软雅黑" w:cs="微软雅黑"/>
                <w:i w:val="0"/>
                <w:iCs w:val="0"/>
                <w:color w:val="FF0000"/>
                <w:kern w:val="0"/>
                <w:sz w:val="15"/>
                <w:szCs w:val="15"/>
                <w:u w:val="none"/>
                <w:bdr w:val="none" w:color="auto" w:sz="0" w:space="0"/>
                <w:lang w:val="en-US" w:eastAsia="zh-CN" w:bidi="ar"/>
              </w:rPr>
              <w:t>19</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4CC8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600</w:t>
            </w:r>
          </w:p>
        </w:tc>
        <w:tc>
          <w:tcPr>
            <w:tcW w:w="1070" w:type="dxa"/>
            <w:tcBorders>
              <w:top w:val="nil"/>
              <w:left w:val="nil"/>
              <w:bottom w:val="single" w:color="000000" w:sz="4" w:space="0"/>
              <w:right w:val="nil"/>
            </w:tcBorders>
            <w:shd w:val="clear"/>
            <w:vAlign w:val="center"/>
          </w:tcPr>
          <w:p w14:paraId="30C2BB4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11400</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5047739E">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bdr w:val="none" w:color="auto" w:sz="0" w:space="0"/>
                <w:lang w:val="en-US" w:eastAsia="zh-CN" w:bidi="ar"/>
              </w:rPr>
              <w:t>高空人工，电焊工等</w:t>
            </w:r>
          </w:p>
        </w:tc>
      </w:tr>
      <w:tr w14:paraId="7BE5D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1015" w:hRule="atLeast"/>
          <w:jc w:val="center"/>
        </w:trPr>
        <w:tc>
          <w:tcPr>
            <w:tcW w:w="125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20F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含税合计(大小写)</w:t>
            </w:r>
          </w:p>
        </w:tc>
        <w:tc>
          <w:tcPr>
            <w:tcW w:w="294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CB97AB">
            <w:pPr>
              <w:jc w:val="center"/>
              <w:rPr>
                <w:rFonts w:hint="eastAsia" w:ascii="微软雅黑" w:hAnsi="微软雅黑" w:eastAsia="微软雅黑" w:cs="微软雅黑"/>
                <w:b/>
                <w:bCs/>
                <w:i w:val="0"/>
                <w:iCs w:val="0"/>
                <w:color w:val="000000"/>
                <w:sz w:val="15"/>
                <w:szCs w:val="15"/>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982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¥26,482.20</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15B122E8">
            <w:pPr>
              <w:jc w:val="center"/>
              <w:rPr>
                <w:rFonts w:hint="eastAsia" w:ascii="思源黑体 CN Medium" w:hAnsi="思源黑体 CN Medium" w:eastAsia="思源黑体 CN Medium" w:cs="思源黑体 CN Medium"/>
                <w:i w:val="0"/>
                <w:iCs w:val="0"/>
                <w:color w:val="000000"/>
                <w:sz w:val="15"/>
                <w:szCs w:val="15"/>
                <w:u w:val="none"/>
              </w:rPr>
            </w:pPr>
          </w:p>
        </w:tc>
      </w:tr>
      <w:tr w14:paraId="535BC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1015" w:hRule="atLeast"/>
          <w:jc w:val="center"/>
        </w:trPr>
        <w:tc>
          <w:tcPr>
            <w:tcW w:w="125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D348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税率：</w:t>
            </w:r>
            <w:r>
              <w:rPr>
                <w:rStyle w:val="10"/>
                <w:sz w:val="15"/>
                <w:szCs w:val="15"/>
                <w:bdr w:val="none" w:color="auto" w:sz="0" w:space="0"/>
                <w:lang w:val="en-US" w:eastAsia="zh-CN" w:bidi="ar"/>
              </w:rPr>
              <w:t xml:space="preserve">       6   %</w:t>
            </w:r>
          </w:p>
        </w:tc>
        <w:tc>
          <w:tcPr>
            <w:tcW w:w="109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213CA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不含税价格</w:t>
            </w:r>
          </w:p>
        </w:tc>
        <w:tc>
          <w:tcPr>
            <w:tcW w:w="112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A284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24893.27</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72D0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税金</w:t>
            </w:r>
          </w:p>
        </w:tc>
        <w:tc>
          <w:tcPr>
            <w:tcW w:w="1070" w:type="dxa"/>
            <w:tcBorders>
              <w:top w:val="single" w:color="000000" w:sz="4" w:space="0"/>
              <w:left w:val="single" w:color="000000" w:sz="4" w:space="0"/>
              <w:bottom w:val="single" w:color="000000" w:sz="4" w:space="0"/>
              <w:right w:val="nil"/>
            </w:tcBorders>
            <w:shd w:val="clear" w:color="auto" w:fill="FFFFFF"/>
            <w:noWrap/>
            <w:vAlign w:val="center"/>
          </w:tcPr>
          <w:p w14:paraId="18329A6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1588.93</w:t>
            </w:r>
          </w:p>
        </w:tc>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7A98AE6B">
            <w:pPr>
              <w:jc w:val="center"/>
              <w:rPr>
                <w:rFonts w:hint="default" w:ascii="思源黑体 CN Medium" w:hAnsi="思源黑体 CN Medium" w:eastAsia="思源黑体 CN Medium" w:cs="思源黑体 CN Medium"/>
                <w:i w:val="0"/>
                <w:iCs w:val="0"/>
                <w:color w:val="000000"/>
                <w:sz w:val="15"/>
                <w:szCs w:val="15"/>
                <w:u w:val="none"/>
              </w:rPr>
            </w:pPr>
          </w:p>
        </w:tc>
      </w:tr>
      <w:tr w14:paraId="32A65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69" w:hRule="atLeast"/>
          <w:jc w:val="center"/>
        </w:trPr>
        <w:tc>
          <w:tcPr>
            <w:tcW w:w="6384" w:type="dxa"/>
            <w:gridSpan w:val="10"/>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8FD7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t>乌鲁木齐薪薪森林广告有限公司2024.3.4日</w:t>
            </w:r>
            <w:r>
              <w:rPr>
                <w:rStyle w:val="11"/>
                <w:sz w:val="15"/>
                <w:szCs w:val="15"/>
                <w:bdr w:val="none" w:color="auto" w:sz="0" w:space="0"/>
                <w:lang w:val="en-US" w:eastAsia="zh-CN" w:bidi="ar"/>
              </w:rPr>
              <w:t>最总结算价21152元整</w:t>
            </w:r>
          </w:p>
        </w:tc>
      </w:tr>
      <w:tr w14:paraId="4472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6"/>
          <w:wBefore w:w="5155" w:type="dxa"/>
          <w:wAfter w:w="0" w:type="auto"/>
          <w:trHeight w:val="569" w:hRule="atLeast"/>
          <w:jc w:val="center"/>
        </w:trPr>
        <w:tc>
          <w:tcPr>
            <w:tcW w:w="6384" w:type="dxa"/>
            <w:gridSpan w:val="10"/>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12F92">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5"/>
                <w:szCs w:val="15"/>
                <w:u w:val="none"/>
                <w:bdr w:val="none" w:color="auto" w:sz="0" w:space="0"/>
                <w:lang w:val="en-US" w:eastAsia="zh-CN" w:bidi="ar"/>
              </w:rPr>
            </w:pPr>
          </w:p>
        </w:tc>
      </w:tr>
      <w:tr w14:paraId="07792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Before w:w="0" w:type="auto"/>
          <w:wAfter w:w="400" w:type="dxa"/>
          <w:trHeight w:val="725" w:hRule="atLeast"/>
          <w:jc w:val="center"/>
        </w:trPr>
        <w:tc>
          <w:tcPr>
            <w:tcW w:w="11139" w:type="dxa"/>
            <w:gridSpan w:val="15"/>
            <w:tcBorders>
              <w:top w:val="nil"/>
              <w:left w:val="nil"/>
              <w:bottom w:val="nil"/>
              <w:right w:val="nil"/>
            </w:tcBorders>
            <w:shd w:val="clear"/>
            <w:noWrap/>
            <w:vAlign w:val="center"/>
          </w:tcPr>
          <w:p w14:paraId="0B8964F5">
            <w:pPr>
              <w:keepNext w:val="0"/>
              <w:keepLines w:val="0"/>
              <w:widowControl/>
              <w:suppressLineNumbers w:val="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通力背景字报价</w:t>
            </w:r>
          </w:p>
        </w:tc>
      </w:tr>
      <w:tr w14:paraId="19BA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1871" w:hRule="atLeast"/>
          <w:jc w:val="center"/>
        </w:trPr>
        <w:tc>
          <w:tcPr>
            <w:tcW w:w="1044" w:type="dxa"/>
            <w:gridSpan w:val="2"/>
            <w:tcBorders>
              <w:top w:val="nil"/>
              <w:left w:val="single" w:color="000000" w:sz="4" w:space="0"/>
              <w:bottom w:val="single" w:color="000000" w:sz="4" w:space="0"/>
              <w:right w:val="single" w:color="000000" w:sz="4" w:space="0"/>
            </w:tcBorders>
            <w:shd w:val="clear"/>
            <w:noWrap/>
            <w:vAlign w:val="bottom"/>
          </w:tcPr>
          <w:p w14:paraId="3AA642F7">
            <w:pPr>
              <w:keepNext w:val="0"/>
              <w:keepLines w:val="0"/>
              <w:widowControl/>
              <w:suppressLineNumbers w:val="0"/>
              <w:jc w:val="left"/>
              <w:textAlignment w:val="bottom"/>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序号</w:t>
            </w:r>
          </w:p>
        </w:tc>
        <w:tc>
          <w:tcPr>
            <w:tcW w:w="1350" w:type="dxa"/>
            <w:tcBorders>
              <w:top w:val="nil"/>
              <w:left w:val="single" w:color="000000" w:sz="4" w:space="0"/>
              <w:bottom w:val="single" w:color="000000" w:sz="4" w:space="0"/>
              <w:right w:val="single" w:color="000000" w:sz="4" w:space="0"/>
            </w:tcBorders>
            <w:shd w:val="clear"/>
            <w:noWrap/>
            <w:vAlign w:val="bottom"/>
          </w:tcPr>
          <w:p w14:paraId="58367D73">
            <w:pPr>
              <w:keepNext w:val="0"/>
              <w:keepLines w:val="0"/>
              <w:widowControl/>
              <w:suppressLineNumbers w:val="0"/>
              <w:jc w:val="left"/>
              <w:textAlignment w:val="bottom"/>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材质</w:t>
            </w:r>
          </w:p>
        </w:tc>
        <w:tc>
          <w:tcPr>
            <w:tcW w:w="1005" w:type="dxa"/>
            <w:tcBorders>
              <w:top w:val="nil"/>
              <w:left w:val="single" w:color="000000" w:sz="4" w:space="0"/>
              <w:bottom w:val="single" w:color="000000" w:sz="4" w:space="0"/>
              <w:right w:val="single" w:color="000000" w:sz="4" w:space="0"/>
            </w:tcBorders>
            <w:shd w:val="clear"/>
            <w:noWrap/>
            <w:vAlign w:val="bottom"/>
          </w:tcPr>
          <w:p w14:paraId="6451E729">
            <w:pPr>
              <w:keepNext w:val="0"/>
              <w:keepLines w:val="0"/>
              <w:widowControl/>
              <w:suppressLineNumbers w:val="0"/>
              <w:jc w:val="left"/>
              <w:textAlignment w:val="bottom"/>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尺寸</w:t>
            </w:r>
          </w:p>
        </w:tc>
        <w:tc>
          <w:tcPr>
            <w:tcW w:w="660" w:type="dxa"/>
            <w:tcBorders>
              <w:top w:val="nil"/>
              <w:left w:val="single" w:color="000000" w:sz="4" w:space="0"/>
              <w:bottom w:val="single" w:color="000000" w:sz="4" w:space="0"/>
              <w:right w:val="single" w:color="000000" w:sz="4" w:space="0"/>
            </w:tcBorders>
            <w:shd w:val="clear"/>
            <w:noWrap/>
            <w:vAlign w:val="bottom"/>
          </w:tcPr>
          <w:p w14:paraId="25225E64">
            <w:pPr>
              <w:keepNext w:val="0"/>
              <w:keepLines w:val="0"/>
              <w:widowControl/>
              <w:suppressLineNumbers w:val="0"/>
              <w:jc w:val="left"/>
              <w:textAlignment w:val="bottom"/>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单位</w:t>
            </w:r>
          </w:p>
        </w:tc>
        <w:tc>
          <w:tcPr>
            <w:tcW w:w="1096" w:type="dxa"/>
            <w:tcBorders>
              <w:top w:val="nil"/>
              <w:left w:val="single" w:color="000000" w:sz="4" w:space="0"/>
              <w:bottom w:val="single" w:color="000000" w:sz="4" w:space="0"/>
              <w:right w:val="single" w:color="000000" w:sz="4" w:space="0"/>
            </w:tcBorders>
            <w:shd w:val="clear"/>
            <w:noWrap/>
            <w:vAlign w:val="bottom"/>
          </w:tcPr>
          <w:p w14:paraId="19737A0C">
            <w:pPr>
              <w:keepNext w:val="0"/>
              <w:keepLines w:val="0"/>
              <w:widowControl/>
              <w:suppressLineNumbers w:val="0"/>
              <w:jc w:val="left"/>
              <w:textAlignment w:val="bottom"/>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工程量</w:t>
            </w:r>
          </w:p>
        </w:tc>
        <w:tc>
          <w:tcPr>
            <w:tcW w:w="1784" w:type="dxa"/>
            <w:gridSpan w:val="3"/>
            <w:tcBorders>
              <w:top w:val="nil"/>
              <w:left w:val="single" w:color="000000" w:sz="4" w:space="0"/>
              <w:bottom w:val="single" w:color="000000" w:sz="4" w:space="0"/>
              <w:right w:val="single" w:color="000000" w:sz="4" w:space="0"/>
            </w:tcBorders>
            <w:shd w:val="clear"/>
            <w:noWrap/>
            <w:vAlign w:val="center"/>
          </w:tcPr>
          <w:p w14:paraId="35115824">
            <w:pPr>
              <w:keepNext w:val="0"/>
              <w:keepLines w:val="0"/>
              <w:widowControl/>
              <w:suppressLineNumbers w:val="0"/>
              <w:jc w:val="left"/>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不含税单价</w:t>
            </w:r>
          </w:p>
        </w:tc>
        <w:tc>
          <w:tcPr>
            <w:tcW w:w="4200" w:type="dxa"/>
            <w:gridSpan w:val="6"/>
            <w:tcBorders>
              <w:top w:val="nil"/>
              <w:left w:val="single" w:color="000000" w:sz="4" w:space="0"/>
              <w:bottom w:val="single" w:color="000000" w:sz="4" w:space="0"/>
              <w:right w:val="single" w:color="000000" w:sz="4" w:space="0"/>
            </w:tcBorders>
            <w:shd w:val="clear"/>
            <w:noWrap/>
            <w:vAlign w:val="bottom"/>
          </w:tcPr>
          <w:p w14:paraId="1E62E3E2">
            <w:pPr>
              <w:keepNext w:val="0"/>
              <w:keepLines w:val="0"/>
              <w:widowControl/>
              <w:suppressLineNumbers w:val="0"/>
              <w:jc w:val="left"/>
              <w:textAlignment w:val="bottom"/>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bdr w:val="none" w:color="auto" w:sz="0" w:space="0"/>
                <w:lang w:val="en-US" w:eastAsia="zh-CN" w:bidi="ar"/>
              </w:rPr>
              <w:t>不含税总价</w:t>
            </w:r>
          </w:p>
        </w:tc>
      </w:tr>
      <w:tr w14:paraId="7C25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1257" w:hRule="atLeast"/>
          <w:jc w:val="center"/>
        </w:trPr>
        <w:tc>
          <w:tcPr>
            <w:tcW w:w="1044"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5163F3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shd w:val="clear"/>
            <w:vAlign w:val="center"/>
          </w:tcPr>
          <w:p w14:paraId="28F4B6F6">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不锈钢精工字（不发光）</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5DFFB4A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0.4*1.95</w:t>
            </w:r>
          </w:p>
        </w:tc>
        <w:tc>
          <w:tcPr>
            <w:tcW w:w="660" w:type="dxa"/>
            <w:tcBorders>
              <w:top w:val="single" w:color="000000" w:sz="4" w:space="0"/>
              <w:left w:val="single" w:color="000000" w:sz="4" w:space="0"/>
              <w:bottom w:val="single" w:color="000000" w:sz="4" w:space="0"/>
              <w:right w:val="single" w:color="000000" w:sz="4" w:space="0"/>
            </w:tcBorders>
            <w:shd w:val="clear"/>
            <w:noWrap/>
            <w:vAlign w:val="center"/>
          </w:tcPr>
          <w:p w14:paraId="676B51EC">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平方</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1415967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1.95</w:t>
            </w:r>
          </w:p>
        </w:tc>
        <w:tc>
          <w:tcPr>
            <w:tcW w:w="1784"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3CBB6FFD">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¥350.00</w:t>
            </w:r>
          </w:p>
        </w:tc>
        <w:tc>
          <w:tcPr>
            <w:tcW w:w="4200"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0A2989DD">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¥682.50</w:t>
            </w:r>
          </w:p>
        </w:tc>
      </w:tr>
      <w:tr w14:paraId="0DFB1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1257" w:hRule="atLeast"/>
          <w:jc w:val="center"/>
        </w:trPr>
        <w:tc>
          <w:tcPr>
            <w:tcW w:w="1044"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DD69CA0">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5132C2D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字体模版</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7C86F198">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0.4*1.95</w:t>
            </w:r>
          </w:p>
        </w:tc>
        <w:tc>
          <w:tcPr>
            <w:tcW w:w="660" w:type="dxa"/>
            <w:tcBorders>
              <w:top w:val="single" w:color="000000" w:sz="4" w:space="0"/>
              <w:left w:val="single" w:color="000000" w:sz="4" w:space="0"/>
              <w:bottom w:val="single" w:color="000000" w:sz="4" w:space="0"/>
              <w:right w:val="single" w:color="000000" w:sz="4" w:space="0"/>
            </w:tcBorders>
            <w:shd w:val="clear"/>
            <w:noWrap/>
            <w:vAlign w:val="center"/>
          </w:tcPr>
          <w:p w14:paraId="76F21A1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套</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548E9561">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1.00</w:t>
            </w:r>
          </w:p>
        </w:tc>
        <w:tc>
          <w:tcPr>
            <w:tcW w:w="1784"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7B22FC49">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¥150.00</w:t>
            </w:r>
          </w:p>
        </w:tc>
        <w:tc>
          <w:tcPr>
            <w:tcW w:w="4200"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25367DA5">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¥150.00</w:t>
            </w:r>
          </w:p>
        </w:tc>
      </w:tr>
      <w:tr w14:paraId="71A2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887" w:hRule="atLeast"/>
          <w:jc w:val="center"/>
        </w:trPr>
        <w:tc>
          <w:tcPr>
            <w:tcW w:w="1044"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1A258EF">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6E838CC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人工</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4225CF6A">
            <w:pPr>
              <w:jc w:val="center"/>
              <w:rPr>
                <w:rFonts w:hint="eastAsia" w:ascii="微软雅黑" w:hAnsi="微软雅黑" w:eastAsia="微软雅黑" w:cs="微软雅黑"/>
                <w:i w:val="0"/>
                <w:iCs w:val="0"/>
                <w:color w:val="000000"/>
                <w:sz w:val="22"/>
                <w:szCs w:val="22"/>
                <w:u w:val="none"/>
              </w:rPr>
            </w:pPr>
          </w:p>
        </w:tc>
        <w:tc>
          <w:tcPr>
            <w:tcW w:w="660" w:type="dxa"/>
            <w:tcBorders>
              <w:top w:val="single" w:color="000000" w:sz="4" w:space="0"/>
              <w:left w:val="single" w:color="000000" w:sz="4" w:space="0"/>
              <w:bottom w:val="single" w:color="000000" w:sz="4" w:space="0"/>
              <w:right w:val="single" w:color="000000" w:sz="4" w:space="0"/>
            </w:tcBorders>
            <w:shd w:val="clear"/>
            <w:noWrap/>
            <w:vAlign w:val="center"/>
          </w:tcPr>
          <w:p w14:paraId="606D23EC">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人</w:t>
            </w:r>
          </w:p>
        </w:tc>
        <w:tc>
          <w:tcPr>
            <w:tcW w:w="1096" w:type="dxa"/>
            <w:tcBorders>
              <w:top w:val="single" w:color="000000" w:sz="4" w:space="0"/>
              <w:left w:val="single" w:color="000000" w:sz="4" w:space="0"/>
              <w:bottom w:val="single" w:color="000000" w:sz="4" w:space="0"/>
              <w:right w:val="single" w:color="000000" w:sz="4" w:space="0"/>
            </w:tcBorders>
            <w:shd w:val="clear"/>
            <w:noWrap/>
            <w:vAlign w:val="center"/>
          </w:tcPr>
          <w:p w14:paraId="293D5018">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2.00</w:t>
            </w:r>
          </w:p>
        </w:tc>
        <w:tc>
          <w:tcPr>
            <w:tcW w:w="1784"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DB2A976">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¥400.00</w:t>
            </w:r>
          </w:p>
        </w:tc>
        <w:tc>
          <w:tcPr>
            <w:tcW w:w="4200"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4B3A8D8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¥800.00</w:t>
            </w:r>
          </w:p>
        </w:tc>
      </w:tr>
      <w:tr w14:paraId="69C80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634" w:hRule="atLeast"/>
          <w:jc w:val="center"/>
        </w:trPr>
        <w:tc>
          <w:tcPr>
            <w:tcW w:w="1044"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36EAD98">
            <w:pPr>
              <w:jc w:val="center"/>
              <w:rPr>
                <w:rFonts w:hint="eastAsia" w:ascii="微软雅黑" w:hAnsi="微软雅黑" w:eastAsia="微软雅黑" w:cs="微软雅黑"/>
                <w:i w:val="0"/>
                <w:iCs w:val="0"/>
                <w:color w:val="000000"/>
                <w:sz w:val="22"/>
                <w:szCs w:val="22"/>
                <w:u w:val="none"/>
              </w:rPr>
            </w:pPr>
          </w:p>
        </w:tc>
        <w:tc>
          <w:tcPr>
            <w:tcW w:w="411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58074BA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总价</w:t>
            </w:r>
          </w:p>
        </w:tc>
        <w:tc>
          <w:tcPr>
            <w:tcW w:w="5984" w:type="dxa"/>
            <w:gridSpan w:val="9"/>
            <w:tcBorders>
              <w:top w:val="single" w:color="000000" w:sz="4" w:space="0"/>
              <w:left w:val="single" w:color="000000" w:sz="4" w:space="0"/>
              <w:bottom w:val="single" w:color="000000" w:sz="4" w:space="0"/>
              <w:right w:val="single" w:color="000000" w:sz="4" w:space="0"/>
            </w:tcBorders>
            <w:shd w:val="clear"/>
            <w:noWrap/>
            <w:vAlign w:val="center"/>
          </w:tcPr>
          <w:p w14:paraId="5416FD51">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¥1,632.50</w:t>
            </w:r>
          </w:p>
        </w:tc>
      </w:tr>
      <w:tr w14:paraId="4D53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634" w:hRule="atLeast"/>
          <w:jc w:val="center"/>
        </w:trPr>
        <w:tc>
          <w:tcPr>
            <w:tcW w:w="1044"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80D5A0C">
            <w:pPr>
              <w:jc w:val="center"/>
              <w:rPr>
                <w:rFonts w:hint="eastAsia" w:ascii="微软雅黑" w:hAnsi="微软雅黑" w:eastAsia="微软雅黑" w:cs="微软雅黑"/>
                <w:i w:val="0"/>
                <w:iCs w:val="0"/>
                <w:color w:val="000000"/>
                <w:sz w:val="22"/>
                <w:szCs w:val="22"/>
                <w:u w:val="none"/>
              </w:rPr>
            </w:pPr>
          </w:p>
        </w:tc>
        <w:tc>
          <w:tcPr>
            <w:tcW w:w="411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256D53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6%</w:t>
            </w:r>
          </w:p>
        </w:tc>
        <w:tc>
          <w:tcPr>
            <w:tcW w:w="5984" w:type="dxa"/>
            <w:gridSpan w:val="9"/>
            <w:tcBorders>
              <w:top w:val="single" w:color="000000" w:sz="4" w:space="0"/>
              <w:left w:val="single" w:color="000000" w:sz="4" w:space="0"/>
              <w:bottom w:val="single" w:color="000000" w:sz="4" w:space="0"/>
              <w:right w:val="single" w:color="000000" w:sz="4" w:space="0"/>
            </w:tcBorders>
            <w:shd w:val="clear"/>
            <w:noWrap/>
            <w:vAlign w:val="center"/>
          </w:tcPr>
          <w:p w14:paraId="1F6836A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¥97.95</w:t>
            </w:r>
          </w:p>
        </w:tc>
      </w:tr>
      <w:tr w14:paraId="25232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0" w:type="dxa"/>
          <w:trHeight w:val="643" w:hRule="atLeast"/>
          <w:jc w:val="center"/>
        </w:trPr>
        <w:tc>
          <w:tcPr>
            <w:tcW w:w="376" w:type="dxa"/>
            <w:tcBorders>
              <w:top w:val="single" w:color="000000" w:sz="4" w:space="0"/>
              <w:left w:val="single" w:color="000000" w:sz="4" w:space="0"/>
              <w:bottom w:val="single" w:color="000000" w:sz="4" w:space="0"/>
              <w:right w:val="single" w:color="000000" w:sz="4" w:space="0"/>
            </w:tcBorders>
            <w:shd w:val="clear"/>
            <w:noWrap/>
            <w:vAlign w:val="center"/>
          </w:tcPr>
          <w:p w14:paraId="573D820D">
            <w:pPr>
              <w:jc w:val="center"/>
              <w:rPr>
                <w:rFonts w:hint="eastAsia" w:ascii="微软雅黑" w:hAnsi="微软雅黑" w:eastAsia="微软雅黑" w:cs="微软雅黑"/>
                <w:i w:val="0"/>
                <w:iCs w:val="0"/>
                <w:color w:val="000000"/>
                <w:sz w:val="22"/>
                <w:szCs w:val="22"/>
                <w:u w:val="none"/>
              </w:rPr>
            </w:pPr>
          </w:p>
        </w:tc>
        <w:tc>
          <w:tcPr>
            <w:tcW w:w="4779" w:type="dxa"/>
            <w:gridSpan w:val="5"/>
            <w:tcBorders>
              <w:top w:val="single" w:color="000000" w:sz="4" w:space="0"/>
              <w:left w:val="single" w:color="000000" w:sz="4" w:space="0"/>
              <w:bottom w:val="single" w:color="000000" w:sz="4" w:space="0"/>
              <w:right w:val="single" w:color="000000" w:sz="4" w:space="0"/>
            </w:tcBorders>
            <w:shd w:val="clear"/>
            <w:noWrap/>
            <w:vAlign w:val="center"/>
          </w:tcPr>
          <w:p w14:paraId="7410C950">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合计</w:t>
            </w:r>
          </w:p>
        </w:tc>
        <w:tc>
          <w:tcPr>
            <w:tcW w:w="5984" w:type="dxa"/>
            <w:gridSpan w:val="9"/>
            <w:tcBorders>
              <w:top w:val="single" w:color="000000" w:sz="4" w:space="0"/>
              <w:left w:val="single" w:color="000000" w:sz="4" w:space="0"/>
              <w:bottom w:val="single" w:color="000000" w:sz="4" w:space="0"/>
              <w:right w:val="single" w:color="000000" w:sz="4" w:space="0"/>
            </w:tcBorders>
            <w:shd w:val="clear"/>
            <w:noWrap/>
            <w:vAlign w:val="center"/>
          </w:tcPr>
          <w:p w14:paraId="01E2B81C">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¥1,730.45</w:t>
            </w:r>
          </w:p>
        </w:tc>
      </w:tr>
    </w:tbl>
    <w:p w14:paraId="6A7F3E4C">
      <w:pPr>
        <w:bidi w:val="0"/>
        <w:jc w:val="both"/>
        <w:rPr>
          <w:rFonts w:hint="eastAsia" w:ascii="仿宋" w:hAnsi="仿宋" w:eastAsia="宋体" w:cs="仿宋"/>
          <w:b/>
          <w:color w:val="auto"/>
          <w:sz w:val="24"/>
          <w:szCs w:val="24"/>
          <w:highlight w:val="none"/>
          <w:lang w:eastAsia="zh-CN"/>
        </w:rPr>
        <w:sectPr>
          <w:pgSz w:w="16838" w:h="11906" w:orient="landscape"/>
          <w:pgMar w:top="1803" w:right="1440" w:bottom="1803" w:left="1440" w:header="851" w:footer="992" w:gutter="0"/>
          <w:cols w:space="720" w:num="1"/>
          <w:rtlGutter w:val="0"/>
          <w:docGrid w:type="lines" w:linePitch="319" w:charSpace="0"/>
        </w:sectPr>
      </w:pPr>
      <w:r>
        <w:drawing>
          <wp:inline distT="0" distB="0" distL="114300" distR="114300">
            <wp:extent cx="2624455" cy="1882140"/>
            <wp:effectExtent l="0" t="0" r="4445" b="381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9"/>
                    <a:stretch>
                      <a:fillRect/>
                    </a:stretch>
                  </pic:blipFill>
                  <pic:spPr>
                    <a:xfrm>
                      <a:off x="0" y="0"/>
                      <a:ext cx="2624455" cy="1882140"/>
                    </a:xfrm>
                    <a:prstGeom prst="rect">
                      <a:avLst/>
                    </a:prstGeom>
                    <a:noFill/>
                    <a:ln w="9525">
                      <a:noFill/>
                    </a:ln>
                  </pic:spPr>
                </pic:pic>
              </a:graphicData>
            </a:graphic>
          </wp:inline>
        </w:drawing>
      </w:r>
      <w:r>
        <w:drawing>
          <wp:inline distT="0" distB="0" distL="114300" distR="114300">
            <wp:extent cx="3335655" cy="1876425"/>
            <wp:effectExtent l="0" t="0" r="1714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3335655" cy="1876425"/>
                    </a:xfrm>
                    <a:prstGeom prst="rect">
                      <a:avLst/>
                    </a:prstGeom>
                    <a:noFill/>
                    <a:ln w="9525">
                      <a:noFill/>
                    </a:ln>
                  </pic:spPr>
                </pic:pic>
              </a:graphicData>
            </a:graphic>
          </wp:inline>
        </w:drawing>
      </w:r>
      <w:r>
        <w:drawing>
          <wp:inline distT="0" distB="0" distL="114300" distR="114300">
            <wp:extent cx="4469130" cy="2513965"/>
            <wp:effectExtent l="0" t="0" r="7620" b="63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1"/>
                    <a:stretch>
                      <a:fillRect/>
                    </a:stretch>
                  </pic:blipFill>
                  <pic:spPr>
                    <a:xfrm>
                      <a:off x="0" y="0"/>
                      <a:ext cx="4469130" cy="2513965"/>
                    </a:xfrm>
                    <a:prstGeom prst="rect">
                      <a:avLst/>
                    </a:prstGeom>
                    <a:noFill/>
                    <a:ln w="9525">
                      <a:noFill/>
                    </a:ln>
                  </pic:spPr>
                </pic:pic>
              </a:graphicData>
            </a:graphic>
          </wp:inline>
        </w:drawing>
      </w:r>
      <w:r>
        <w:rPr>
          <w:rFonts w:hint="eastAsia" w:ascii="仿宋" w:hAnsi="仿宋" w:eastAsia="宋体" w:cs="仿宋"/>
          <w:b/>
          <w:color w:val="auto"/>
          <w:sz w:val="24"/>
          <w:szCs w:val="24"/>
          <w:highlight w:val="none"/>
          <w:lang w:eastAsia="zh-CN"/>
        </w:rPr>
        <w:drawing>
          <wp:inline distT="0" distB="0" distL="114300" distR="114300">
            <wp:extent cx="3508375" cy="1973580"/>
            <wp:effectExtent l="0" t="0" r="15875" b="7620"/>
            <wp:docPr id="14" name="图片 14" descr="5232e95b804bdf6a0d64491c91bc3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232e95b804bdf6a0d64491c91bc3e4"/>
                    <pic:cNvPicPr>
                      <a:picLocks noChangeAspect="1"/>
                    </pic:cNvPicPr>
                  </pic:nvPicPr>
                  <pic:blipFill>
                    <a:blip r:embed="rId12"/>
                    <a:stretch>
                      <a:fillRect/>
                    </a:stretch>
                  </pic:blipFill>
                  <pic:spPr>
                    <a:xfrm>
                      <a:off x="0" y="0"/>
                      <a:ext cx="3508375" cy="1973580"/>
                    </a:xfrm>
                    <a:prstGeom prst="rect">
                      <a:avLst/>
                    </a:prstGeom>
                  </pic:spPr>
                </pic:pic>
              </a:graphicData>
            </a:graphic>
          </wp:inline>
        </w:drawing>
      </w:r>
    </w:p>
    <w:p w14:paraId="2C807EC6">
      <w:pPr>
        <w:bidi w:val="0"/>
        <w:jc w:val="left"/>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附件2：</w:t>
      </w:r>
    </w:p>
    <w:p w14:paraId="13F896A9">
      <w:pPr>
        <w:wordWrap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安全生产目标管理责任书</w:t>
      </w:r>
    </w:p>
    <w:p w14:paraId="5EDB2912">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认真贯彻“安全第一，预防为主,综合治理”的安全生产工作方针，全面落实国家2021年9月1日起实施的新《安全生产法》有关“人民至上、生命至上”以人为本的指导思想，做到施工安全管理工作的标准化和规范化，确保建设工程项目安全、优质、按期完成，同时为进一步明确有关各方的安全职责，进一步提高甲方建设工程施工安全管理的整体水平，杜绝重大伤亡事故的发生，保障各方参与人员人身安全、保障甲方声誉，根据《中华人民共和国建筑法》、《建设工程安全生产管理条例》、《自治区建设工程安全文明施工管理规定》等有关国家、省、市法令法规，特制定本建设工程安全生产责任书。</w:t>
      </w:r>
    </w:p>
    <w:p w14:paraId="0BC5934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元盛祥府精神堡垒制作及安装</w:t>
      </w:r>
      <w:r>
        <w:rPr>
          <w:rFonts w:hint="eastAsia" w:ascii="仿宋" w:hAnsi="仿宋" w:eastAsia="仿宋" w:cs="仿宋"/>
          <w:color w:val="auto"/>
          <w:sz w:val="24"/>
          <w:szCs w:val="24"/>
          <w:highlight w:val="none"/>
        </w:rPr>
        <w:t>乙方必须与甲方签订安全生产目标管理责任书作为施工安全管理的指导与检查执行依据。</w:t>
      </w:r>
    </w:p>
    <w:p w14:paraId="0303ECB2">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一、安全生产管理目标</w:t>
      </w:r>
    </w:p>
    <w:p w14:paraId="03347B58">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认真贯彻执行国家、自治区和（地州）的安全生产方针、政策及法规。乙方施工现场必须严格按《中华人民共和国安全生产法》、《公路水运工程安全生产监督管理办法》、《建筑施工企业安全生产管理机构设置及专职安全生产管理人员配备办法》等规定，配备专职安全管理人员。乙方按照《企业安全生产责任体系五落实五到位规定》要求，依法设立安全生产管理机构，配备专职安全生产管理人员不少于1人。</w:t>
      </w:r>
    </w:p>
    <w:p w14:paraId="1D71AD8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依据《建筑施工安全检查标准》（JGJ59-2011）要求，每月定期开展安全生产标准化自评工作，乙方应当每季度对在施项目安全生产标准化工作进行监督检查，并形成季度检查表。乙方积极创建自治区、市级“安全文明标准化工地”。</w:t>
      </w:r>
    </w:p>
    <w:p w14:paraId="0F6EC48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项目经理依法对所施工的工程安全生产工作全面负责，是安全生产第一责任人。乙方应建立健全安全生产责任制度和安全教育培训制度，制定安全生产规章制度和操作规程，保证安全生产条件所需资金的投入，对所承担的建设工程进行定期和专项安全检查。</w:t>
      </w:r>
    </w:p>
    <w:p w14:paraId="78FE8A3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保证必要的安全生产资金投入（按施工产值的1.5％投入），按规定为作业人员配备合格的施工安全防护用品，保证施工现场安全设施、防护用品的正常、有效使用，对重点和危险性较大的场所、部位，按规定做好防护并设立警示标志。</w:t>
      </w:r>
    </w:p>
    <w:p w14:paraId="197D3FC0">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根据《建设工程管理条例》规定，应建立健全教育培训制度、加强对施工人员的教育培训，未经教育培训且考核不合格的人员，不得上岗。根据《安全生产法》的规定，制定本单位安全教育培训计划，本单位的主要负责人和分管生产、安全的负责人经过安全专业培训，考核合格，并取得相关证照；安全生产管理人员、特种作业人员经培训考试合格，取得证书，持证上岗。</w:t>
      </w:r>
    </w:p>
    <w:p w14:paraId="34172AA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应针对危险性较大的施工工程（如深基坑、高处作业、临时用电、交通运输、高大模板安装及拆除、吊装等施工），制订专项安全施工方案、防护措施和应急救援预案，并予以落实；完善安全生产救援指挥系统和制度，建立专（兼)职救援队伍，配备必要的救援器材，年度内至少开展1次应急救援演练，以保证应急预案的正常和有效实施。</w:t>
      </w:r>
    </w:p>
    <w:p w14:paraId="49BBBAD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4.施工现场起重设备报检率达到100%，施工现场各类机械、机电设备完好率达到100%，脚手架及高处防护作用工程、施工用电、施工机械及物料运输提升设施验收合格率达到100%。</w:t>
      </w:r>
    </w:p>
    <w:p w14:paraId="2D98202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5.积极组织开展从业人员入场三级安全教育培训及考核工作。</w:t>
      </w:r>
      <w:r>
        <w:rPr>
          <w:rFonts w:hint="eastAsia" w:ascii="仿宋" w:hAnsi="仿宋" w:eastAsia="仿宋" w:cs="仿宋"/>
          <w:b/>
          <w:bCs/>
          <w:color w:val="auto"/>
          <w:sz w:val="24"/>
          <w:szCs w:val="24"/>
          <w:highlight w:val="none"/>
        </w:rPr>
        <w:t>由技术负责人组织按照不同工种，分部分项开展针对性的安全技术交底工作。</w:t>
      </w:r>
      <w:r>
        <w:rPr>
          <w:rFonts w:hint="eastAsia" w:ascii="仿宋" w:hAnsi="仿宋" w:eastAsia="仿宋" w:cs="仿宋"/>
          <w:color w:val="auto"/>
          <w:sz w:val="24"/>
          <w:szCs w:val="24"/>
          <w:highlight w:val="none"/>
        </w:rPr>
        <w:t>强化安全生产宣传教育培训。开展法律法规学习培训，认真组织开展安全生产月、119消防宣传日、职业病防治法宣传周、122交通安全日等安全生产宣传教育活动。开展企业班组建设，完成班组建设目标、任务。</w:t>
      </w:r>
    </w:p>
    <w:p w14:paraId="1C5F8E1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制定从业人员培训计划，落实培训经费，深化从业人员三级安全教育，从业人员三级安全教育、特种工人持证上岗、施工管理人员安全培训率等均须达到100%。</w:t>
      </w:r>
    </w:p>
    <w:p w14:paraId="068AD14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6.乙方对列入建设工程概算的安全作业环境及安全措施所需费用，应用于施工安全中，不得挪作他用。</w:t>
      </w:r>
    </w:p>
    <w:p w14:paraId="5BF4F8B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建立隐患排查治理体系。健全和落实隐患排查治理制度，重大隐患要及时上报所在地安全监管监察部门和行业主管部门备案，通报可能影响到的周边单位和人员。严格执行安全设施“三同时”的管理法规。开展经常性安全检查。</w:t>
      </w:r>
    </w:p>
    <w:p w14:paraId="51CFEAA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7.1乙方对施工现场每月组织一次安全大检查。</w:t>
      </w:r>
    </w:p>
    <w:p w14:paraId="1F4314A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7.2施工现场每两月组织2次由乙方项目经理组织的安全检查。</w:t>
      </w:r>
    </w:p>
    <w:p w14:paraId="3694AE30">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每周至少进行一次安全检查，对检查出的隐患，按照“四定”（定人、定时、定措施、定整改验收人）原则督促落实，并将检查、整改情况影像资料留存。及时纠正和查处生产过程中的违章、违纪行为，落实安全奖罚制度。</w:t>
      </w:r>
    </w:p>
    <w:p w14:paraId="407B6AB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8.施工现场各级职能人员岗位责任制、目标责任书执行率达到100%。</w:t>
      </w:r>
    </w:p>
    <w:p w14:paraId="640502A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9.乙方做好应急救援和事故报告、调查处理工作。实现目标管理，加大施工现场事故隐患治理力度，坚决遏制重特大安全事故发生，杜绝死亡事故的发生。如发生安全事故应立即上报甲方。</w:t>
      </w:r>
    </w:p>
    <w:p w14:paraId="656E9FC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工程开工前15日内办理工程开工备案手续，将单位工程人员组织（含岗位人员名册）、安全文明施工投入、施工现场总平面图等信息准确填写，经甲方总工程师批准后方可施工，报甲方工程部备案；同时与建设单位、监理单位做好安全评估，签订防护用品费用预约。未办理安全报监的，不得开工。（含岗位人员花名册）一并上报甲方工程部安全科备案。</w:t>
      </w:r>
    </w:p>
    <w:p w14:paraId="1E5FCEB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为减轻乙方因施工发生工程质量事故需要赔偿、人员伤亡需要支付费用及经济赔偿等压力，要求乙方在开工之前必须购买工程质量险、施工人员人身意外伤害险、工伤保险等，且人身意外伤害险伤亡保额不得低于120万元，相关保险单扫描件或复印件报甲方备案。</w:t>
      </w:r>
    </w:p>
    <w:p w14:paraId="595AF91F">
      <w:pPr>
        <w:wordWrap w:val="0"/>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本工程如发生人员伤、亡事故，乙方须及时上报甲方，并及时妥善处理好事故相关费用的支付及赔偿事宜。乙方如未及时购买相关保险又未妥善处理好事故赔偿的，甲方有权从乙方工程款中直接扣留事故所需相关费用，直到事故完全处理完毕时止。并对乙方按照甲方相关管理规定予以处罚。如乙方工程款不足以支付事故费用及赔偿额度的，甲方有权向乙方另行追偿差额部分。</w:t>
      </w:r>
    </w:p>
    <w:p w14:paraId="387421FD">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二、安全防控考核目标：</w:t>
      </w:r>
    </w:p>
    <w:p w14:paraId="0957294E">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1、杜绝重大、一般伤亡事故发生（包括中毒、消防）。</w:t>
      </w:r>
    </w:p>
    <w:p w14:paraId="74FC034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2、在统计范围内,全年死亡事故起数、死亡人数（包括外用工）为“零”；重伤事故起数、重伤人数（包括外用工）为“零”；轻伤事故频率控制在员工总数的3‰以内；</w:t>
      </w:r>
    </w:p>
    <w:p w14:paraId="53E6E71B">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3、在统计范围内，无职业病发生；</w:t>
      </w:r>
    </w:p>
    <w:p w14:paraId="33E67DF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4、在统计范围内无中毒、群发性中暑及传染病事故；</w:t>
      </w:r>
    </w:p>
    <w:p w14:paraId="009FAD7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5、在统计范围内，无环境污染以及生态破坏等事故发生；</w:t>
      </w:r>
    </w:p>
    <w:p w14:paraId="02B4F33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6、年度内本单位无重大火灾事故发生，施工现场无较大火灾事故隐患；</w:t>
      </w:r>
    </w:p>
    <w:p w14:paraId="64FA4EC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7、一般火灾事故无人员伤亡和财产损失不超过5000元(大写：伍仟元整)；</w:t>
      </w:r>
    </w:p>
    <w:p w14:paraId="288AF9C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8、本单位区域内的道路交通事故死亡人数为零。</w:t>
      </w:r>
    </w:p>
    <w:p w14:paraId="1CC5813B">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三、考核标准及奖惩</w:t>
      </w:r>
    </w:p>
    <w:p w14:paraId="3A404F43">
      <w:pPr>
        <w:wordWrap w:val="0"/>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（一）考核期限：</w:t>
      </w:r>
      <w:r>
        <w:rPr>
          <w:rFonts w:hint="eastAsia" w:ascii="仿宋" w:hAnsi="仿宋" w:eastAsia="仿宋" w:cs="仿宋"/>
          <w:color w:val="auto"/>
          <w:sz w:val="24"/>
          <w:szCs w:val="24"/>
          <w:highlight w:val="none"/>
        </w:rPr>
        <w:t>自本项目施工合同签订至建设方合同约定的质保期到期时止。（期间如遇国家、行业或甲方等有关安全条例、规定发生修订的，执行时以最新要求为准）</w:t>
      </w:r>
    </w:p>
    <w:p w14:paraId="7DBB5A5D">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（二）评分标准（总分1000分）</w:t>
      </w:r>
    </w:p>
    <w:p w14:paraId="3C0687F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1.先进单位：安全生产目标管理综合评分在950分以上，为安全生产先进单位（两名），各奖励2000元。</w:t>
      </w:r>
    </w:p>
    <w:p w14:paraId="0CE0D20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2.合格单位：安全生产目标管理综合评分在850—950分，为安全生产合格单位。</w:t>
      </w:r>
    </w:p>
    <w:p w14:paraId="004088A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3.不合格单位：安全生产目标管理综合评分在850分以下，为安全生产不合格单位（两名），各罚款4000元。</w:t>
      </w:r>
    </w:p>
    <w:p w14:paraId="3FDDEB8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4.安全生产事故超过控制指标的；发生一次经济损失超过30万元火灾事故的；隐瞒事故的；被自治区建设行政主管部门暂扣安全生产许可证的，均为不合格单位。</w:t>
      </w:r>
    </w:p>
    <w:p w14:paraId="2EB37DD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5、发生重伤以上安全事故，由乙方对伤害人进行经济补偿，并给予乙方总经理和项目经理各3000-10000元罚款，情况严重的由有关部门追究其责任。</w:t>
      </w:r>
    </w:p>
    <w:p w14:paraId="12D93BD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6、造成直接经济损失大于10万元小于50万元者，对乙方项目经理罚款20000-100000元，直接经济损失在50-100万元之间者，按甲方相关制度执行。</w:t>
      </w:r>
    </w:p>
    <w:p w14:paraId="4CFB76C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7、发生伤、亡事故不及时报告的，对乙方总经理和项目经理罚款5000元，隐瞒事故不报或阻碍调查的，各罚款20000元。</w:t>
      </w:r>
    </w:p>
    <w:p w14:paraId="6B8866E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8、具体施工按甲方管理制度和甲方工程部制定的质量、安全管理细则执行。</w:t>
      </w:r>
    </w:p>
    <w:p w14:paraId="47D2B5F4">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9、全年无事故，事故隐患整改率达到100%的项目，对取得自治区、市安全文明工地的项目，按照甲方奖励办法进行奖励。未完成安全指标的将参照奖励办法的两倍予以处罚。</w:t>
      </w:r>
    </w:p>
    <w:p w14:paraId="447833B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10、在生产经营中，发生其它严重的安全生产事故或对社会影响恶劣的事件，按照国家有关规定进行处理。</w:t>
      </w:r>
    </w:p>
    <w:p w14:paraId="6EA1FBA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11、发生事故的乙方单位和项目在年度评优、评先方面严格落实“一票否决”制。</w:t>
      </w:r>
    </w:p>
    <w:p w14:paraId="10E7589B">
      <w:pPr>
        <w:wordWrap w:val="0"/>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四、其它</w:t>
      </w:r>
    </w:p>
    <w:p w14:paraId="6FCF31F1">
      <w:pPr>
        <w:wordWrap w:val="0"/>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本安全生产目标管理责任书于乙方进场前双方签订</w:t>
      </w:r>
      <w:r>
        <w:rPr>
          <w:rFonts w:hint="eastAsia" w:ascii="仿宋" w:hAnsi="仿宋" w:eastAsia="仿宋" w:cs="仿宋"/>
          <w:color w:val="auto"/>
          <w:sz w:val="24"/>
          <w:szCs w:val="24"/>
          <w:highlight w:val="none"/>
        </w:rPr>
        <w:t>。一式4份，甲方3份，乙方1份，均妥为保存以备各方核查。</w:t>
      </w:r>
    </w:p>
    <w:p w14:paraId="1AC0CAFC">
      <w:pPr>
        <w:wordWrap w:val="0"/>
        <w:spacing w:line="360" w:lineRule="auto"/>
        <w:ind w:firstLine="480" w:firstLineChars="200"/>
        <w:rPr>
          <w:rFonts w:hint="eastAsia" w:ascii="仿宋" w:hAnsi="仿宋" w:eastAsia="仿宋" w:cs="仿宋"/>
          <w:color w:val="auto"/>
          <w:sz w:val="24"/>
          <w:szCs w:val="24"/>
          <w:highlight w:val="none"/>
        </w:rPr>
      </w:pPr>
    </w:p>
    <w:p w14:paraId="35748B3E">
      <w:pPr>
        <w:wordWrap w:val="0"/>
        <w:spacing w:line="360" w:lineRule="auto"/>
        <w:ind w:firstLine="480" w:firstLineChars="200"/>
        <w:rPr>
          <w:rFonts w:hint="eastAsia" w:ascii="仿宋" w:hAnsi="仿宋" w:eastAsia="仿宋" w:cs="仿宋"/>
          <w:color w:val="auto"/>
          <w:sz w:val="24"/>
          <w:szCs w:val="24"/>
          <w:highlight w:val="none"/>
        </w:rPr>
      </w:pPr>
    </w:p>
    <w:p w14:paraId="4A9117B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工程全称：</w:t>
      </w:r>
      <w:r>
        <w:rPr>
          <w:rFonts w:hint="eastAsia" w:ascii="仿宋" w:hAnsi="仿宋" w:eastAsia="仿宋" w:cs="仿宋"/>
          <w:color w:val="auto"/>
          <w:sz w:val="24"/>
          <w:szCs w:val="24"/>
          <w:highlight w:val="none"/>
          <w:lang w:eastAsia="zh-CN"/>
        </w:rPr>
        <w:t>元盛祥府</w:t>
      </w:r>
      <w:r>
        <w:rPr>
          <w:rFonts w:hint="eastAsia" w:ascii="仿宋" w:hAnsi="仿宋" w:eastAsia="仿宋" w:cs="仿宋"/>
          <w:color w:val="auto"/>
          <w:sz w:val="24"/>
          <w:szCs w:val="24"/>
          <w:highlight w:val="none"/>
          <w:lang w:val="en-US" w:eastAsia="zh-CN"/>
        </w:rPr>
        <w:t>物料</w:t>
      </w:r>
      <w:r>
        <w:rPr>
          <w:rFonts w:hint="eastAsia" w:ascii="仿宋" w:hAnsi="仿宋" w:eastAsia="仿宋" w:cs="仿宋"/>
          <w:color w:val="auto"/>
          <w:sz w:val="24"/>
          <w:szCs w:val="24"/>
          <w:highlight w:val="none"/>
          <w:lang w:eastAsia="zh-CN"/>
        </w:rPr>
        <w:t>制作及安装</w:t>
      </w:r>
    </w:p>
    <w:p w14:paraId="73980B4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工程地点：</w:t>
      </w:r>
      <w:r>
        <w:rPr>
          <w:rFonts w:hint="eastAsia" w:ascii="仿宋" w:hAnsi="仿宋" w:eastAsia="仿宋" w:cs="仿宋"/>
          <w:color w:val="auto"/>
          <w:sz w:val="24"/>
          <w:szCs w:val="24"/>
          <w:highlight w:val="none"/>
          <w:lang w:eastAsia="zh-CN"/>
        </w:rPr>
        <w:t>元盛祥府小区</w:t>
      </w:r>
    </w:p>
    <w:p w14:paraId="30130BA8">
      <w:pPr>
        <w:wordWrap w:val="0"/>
        <w:spacing w:line="360" w:lineRule="auto"/>
        <w:ind w:firstLine="480" w:firstLineChars="200"/>
        <w:rPr>
          <w:rFonts w:hint="eastAsia" w:ascii="仿宋" w:hAnsi="仿宋" w:eastAsia="仿宋" w:cs="仿宋"/>
          <w:color w:val="auto"/>
          <w:sz w:val="24"/>
          <w:szCs w:val="24"/>
          <w:highlight w:val="none"/>
        </w:rPr>
      </w:pPr>
    </w:p>
    <w:p w14:paraId="3AE4EBBD">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甲方（发包方）：</w:t>
      </w:r>
      <w:r>
        <w:rPr>
          <w:rFonts w:hint="eastAsia" w:ascii="仿宋" w:hAnsi="仿宋" w:eastAsia="仿宋" w:cs="仿宋"/>
          <w:bCs/>
          <w:color w:val="auto"/>
          <w:sz w:val="24"/>
          <w:szCs w:val="24"/>
          <w:highlight w:val="none"/>
          <w:lang w:eastAsia="zh-CN"/>
        </w:rPr>
        <w:t>新疆元盛美华房地产开发有限责任公司</w:t>
      </w:r>
    </w:p>
    <w:p w14:paraId="0BCC28BC">
      <w:pPr>
        <w:wordWrap w:val="0"/>
        <w:spacing w:line="360" w:lineRule="auto"/>
        <w:ind w:firstLine="480" w:firstLineChars="200"/>
        <w:rPr>
          <w:rFonts w:hint="eastAsia" w:ascii="仿宋" w:hAnsi="仿宋" w:eastAsia="仿宋" w:cs="仿宋"/>
          <w:color w:val="auto"/>
          <w:sz w:val="24"/>
          <w:szCs w:val="24"/>
          <w:highlight w:val="none"/>
        </w:rPr>
      </w:pPr>
    </w:p>
    <w:p w14:paraId="723FDA54">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甲方项目负责人（/）签字：            手机：</w:t>
      </w:r>
      <w:r>
        <w:rPr>
          <w:rFonts w:hint="eastAsia" w:ascii="仿宋" w:hAnsi="仿宋" w:eastAsia="仿宋" w:cs="仿宋"/>
          <w:bCs/>
          <w:color w:val="auto"/>
          <w:sz w:val="24"/>
          <w:szCs w:val="24"/>
          <w:highlight w:val="none"/>
        </w:rPr>
        <w:t>/</w:t>
      </w:r>
    </w:p>
    <w:p w14:paraId="077F93E6">
      <w:pPr>
        <w:wordWrap w:val="0"/>
        <w:spacing w:line="360" w:lineRule="auto"/>
        <w:ind w:firstLine="480" w:firstLineChars="200"/>
        <w:rPr>
          <w:rFonts w:hint="eastAsia" w:ascii="仿宋" w:hAnsi="仿宋" w:eastAsia="仿宋" w:cs="仿宋"/>
          <w:color w:val="auto"/>
          <w:sz w:val="24"/>
          <w:szCs w:val="24"/>
          <w:highlight w:val="none"/>
        </w:rPr>
      </w:pPr>
    </w:p>
    <w:p w14:paraId="27269901">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3E59702A">
      <w:pPr>
        <w:wordWrap w:val="0"/>
        <w:spacing w:line="360" w:lineRule="auto"/>
        <w:ind w:firstLine="480" w:firstLineChars="200"/>
        <w:rPr>
          <w:rFonts w:hint="eastAsia" w:ascii="仿宋" w:hAnsi="仿宋" w:eastAsia="仿宋" w:cs="仿宋"/>
          <w:color w:val="auto"/>
          <w:sz w:val="24"/>
          <w:szCs w:val="24"/>
          <w:highlight w:val="none"/>
        </w:rPr>
      </w:pPr>
    </w:p>
    <w:p w14:paraId="2F007475">
      <w:pPr>
        <w:wordWrap w:val="0"/>
        <w:spacing w:line="360" w:lineRule="auto"/>
        <w:ind w:firstLine="480" w:firstLineChars="200"/>
        <w:rPr>
          <w:rFonts w:hint="eastAsia" w:ascii="仿宋" w:hAnsi="仿宋" w:eastAsia="仿宋" w:cs="仿宋"/>
          <w:color w:val="auto"/>
          <w:sz w:val="24"/>
          <w:szCs w:val="24"/>
          <w:highlight w:val="none"/>
        </w:rPr>
      </w:pPr>
    </w:p>
    <w:p w14:paraId="52399001">
      <w:pPr>
        <w:wordWrap w:val="0"/>
        <w:spacing w:line="360" w:lineRule="auto"/>
        <w:ind w:firstLine="480" w:firstLineChars="200"/>
        <w:rPr>
          <w:rFonts w:hint="eastAsia" w:ascii="仿宋" w:hAnsi="仿宋" w:eastAsia="仿宋" w:cs="仿宋"/>
          <w:color w:val="auto"/>
          <w:sz w:val="24"/>
          <w:szCs w:val="24"/>
          <w:highlight w:val="none"/>
        </w:rPr>
      </w:pPr>
    </w:p>
    <w:p w14:paraId="12CA33AF">
      <w:pPr>
        <w:wordWrap w:val="0"/>
        <w:spacing w:line="360" w:lineRule="auto"/>
        <w:ind w:firstLine="480" w:firstLineChars="200"/>
        <w:rPr>
          <w:rFonts w:hint="eastAsia" w:ascii="仿宋" w:hAnsi="仿宋" w:eastAsia="仿宋" w:cs="仿宋"/>
          <w:color w:val="auto"/>
          <w:sz w:val="24"/>
          <w:szCs w:val="24"/>
          <w:highlight w:val="none"/>
        </w:rPr>
      </w:pPr>
    </w:p>
    <w:p w14:paraId="6B6DB0FE">
      <w:pPr>
        <w:wordWrap w:val="0"/>
        <w:spacing w:line="360" w:lineRule="auto"/>
        <w:ind w:firstLine="480" w:firstLineChars="200"/>
        <w:rPr>
          <w:rFonts w:hint="eastAsia" w:ascii="仿宋" w:hAnsi="仿宋" w:eastAsia="仿宋" w:cs="仿宋"/>
          <w:color w:val="auto"/>
          <w:sz w:val="24"/>
          <w:szCs w:val="24"/>
          <w:highlight w:val="none"/>
        </w:rPr>
      </w:pPr>
    </w:p>
    <w:p w14:paraId="4885A72C">
      <w:pPr>
        <w:wordWrap w:val="0"/>
        <w:spacing w:line="360" w:lineRule="auto"/>
        <w:ind w:firstLine="480" w:firstLineChars="200"/>
        <w:rPr>
          <w:rFonts w:hint="default" w:ascii="仿宋" w:hAnsi="仿宋" w:eastAsia="仿宋" w:cs="仿宋"/>
          <w:bCs/>
          <w:color w:val="auto"/>
          <w:sz w:val="24"/>
          <w:szCs w:val="24"/>
          <w:highlight w:val="none"/>
          <w:lang w:val="en-US"/>
        </w:rPr>
      </w:pPr>
      <w:r>
        <w:rPr>
          <w:rFonts w:hint="eastAsia" w:ascii="仿宋" w:hAnsi="仿宋" w:eastAsia="仿宋" w:cs="仿宋"/>
          <w:color w:val="auto"/>
          <w:sz w:val="24"/>
          <w:szCs w:val="24"/>
          <w:highlight w:val="none"/>
        </w:rPr>
        <w:t>乙方单位（盖章）：</w:t>
      </w:r>
      <w:r>
        <w:rPr>
          <w:rFonts w:hint="eastAsia" w:ascii="仿宋" w:hAnsi="仿宋" w:eastAsia="仿宋" w:cs="仿宋"/>
          <w:bCs/>
          <w:color w:val="auto"/>
          <w:sz w:val="24"/>
          <w:szCs w:val="24"/>
          <w:highlight w:val="none"/>
          <w:lang w:val="en-US" w:eastAsia="zh-CN"/>
        </w:rPr>
        <w:t>乌鲁木齐薪薪森林广告有限公司</w:t>
      </w:r>
    </w:p>
    <w:p w14:paraId="4A70A23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6FBB447A">
      <w:pPr>
        <w:wordWrap w:val="0"/>
        <w:spacing w:line="360" w:lineRule="auto"/>
        <w:ind w:firstLine="480" w:firstLineChars="200"/>
        <w:rPr>
          <w:rFonts w:hint="default"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乙方法人代表（</w:t>
      </w:r>
      <w:r>
        <w:rPr>
          <w:rFonts w:hint="eastAsia" w:ascii="仿宋" w:hAnsi="仿宋" w:eastAsia="仿宋" w:cs="仿宋"/>
          <w:bCs/>
          <w:color w:val="auto"/>
          <w:sz w:val="24"/>
          <w:szCs w:val="24"/>
          <w:highlight w:val="none"/>
          <w:lang w:val="en-US" w:eastAsia="zh-CN"/>
        </w:rPr>
        <w:t>罗海明</w:t>
      </w:r>
      <w:r>
        <w:rPr>
          <w:rFonts w:hint="eastAsia" w:ascii="仿宋" w:hAnsi="仿宋" w:eastAsia="仿宋" w:cs="仿宋"/>
          <w:bCs/>
          <w:color w:val="auto"/>
          <w:sz w:val="24"/>
          <w:szCs w:val="24"/>
          <w:highlight w:val="none"/>
        </w:rPr>
        <w:t>）面签或私章：       联系方式：</w:t>
      </w:r>
      <w:r>
        <w:rPr>
          <w:rFonts w:hint="eastAsia" w:ascii="仿宋" w:hAnsi="仿宋" w:eastAsia="仿宋" w:cs="仿宋"/>
          <w:bCs/>
          <w:color w:val="auto"/>
          <w:sz w:val="24"/>
          <w:szCs w:val="24"/>
          <w:highlight w:val="none"/>
          <w:lang w:val="en-US" w:eastAsia="zh-CN"/>
        </w:rPr>
        <w:t>15276655660</w:t>
      </w:r>
    </w:p>
    <w:p w14:paraId="122F34E3">
      <w:pPr>
        <w:wordWrap w:val="0"/>
        <w:spacing w:line="360" w:lineRule="auto"/>
        <w:rPr>
          <w:rFonts w:hint="eastAsia" w:ascii="仿宋" w:hAnsi="仿宋" w:eastAsia="仿宋" w:cs="仿宋"/>
          <w:color w:val="auto"/>
          <w:sz w:val="24"/>
          <w:szCs w:val="24"/>
          <w:highlight w:val="none"/>
        </w:rPr>
      </w:pPr>
    </w:p>
    <w:p w14:paraId="1335FA12">
      <w:pPr>
        <w:wordWrap w:val="0"/>
        <w:spacing w:line="360" w:lineRule="auto"/>
        <w:ind w:firstLine="480" w:firstLineChars="200"/>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乙方经办人（如有）（）面签：        联系方式：</w:t>
      </w:r>
    </w:p>
    <w:p w14:paraId="3B2CCFE2">
      <w:pPr>
        <w:wordWrap w:val="0"/>
        <w:spacing w:line="360" w:lineRule="auto"/>
        <w:ind w:firstLine="480" w:firstLineChars="200"/>
        <w:rPr>
          <w:rFonts w:hint="eastAsia" w:ascii="仿宋" w:hAnsi="仿宋" w:eastAsia="仿宋" w:cs="仿宋"/>
          <w:color w:val="auto"/>
          <w:sz w:val="24"/>
          <w:szCs w:val="24"/>
          <w:highlight w:val="none"/>
        </w:rPr>
      </w:pPr>
    </w:p>
    <w:p w14:paraId="1F1FF0BD">
      <w:pPr>
        <w:wordWrap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签订时间：202</w:t>
      </w:r>
      <w:r>
        <w:rPr>
          <w:rFonts w:hint="eastAsia" w:ascii="仿宋" w:hAnsi="仿宋" w:eastAsia="仿宋" w:cs="仿宋"/>
          <w:b/>
          <w:color w:val="auto"/>
          <w:sz w:val="24"/>
          <w:szCs w:val="24"/>
          <w:highlight w:val="none"/>
          <w:lang w:val="en-US" w:eastAsia="zh-CN"/>
        </w:rPr>
        <w:t>5</w:t>
      </w:r>
      <w:r>
        <w:rPr>
          <w:rFonts w:hint="eastAsia" w:ascii="仿宋" w:hAnsi="仿宋" w:eastAsia="仿宋" w:cs="仿宋"/>
          <w:b/>
          <w:color w:val="auto"/>
          <w:sz w:val="24"/>
          <w:szCs w:val="24"/>
          <w:highlight w:val="none"/>
        </w:rPr>
        <w:t>年</w:t>
      </w: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月</w:t>
      </w:r>
      <w:r>
        <w:rPr>
          <w:rFonts w:hint="eastAsia" w:ascii="仿宋" w:hAnsi="仿宋" w:eastAsia="仿宋" w:cs="仿宋"/>
          <w:b/>
          <w:color w:val="auto"/>
          <w:sz w:val="24"/>
          <w:szCs w:val="24"/>
          <w:highlight w:val="none"/>
          <w:lang w:val="en-US" w:eastAsia="zh-CN"/>
        </w:rPr>
        <w:t>6</w:t>
      </w:r>
      <w:r>
        <w:rPr>
          <w:rFonts w:hint="eastAsia" w:ascii="仿宋" w:hAnsi="仿宋" w:eastAsia="仿宋" w:cs="仿宋"/>
          <w:b/>
          <w:color w:val="auto"/>
          <w:sz w:val="24"/>
          <w:szCs w:val="24"/>
          <w:highlight w:val="none"/>
        </w:rPr>
        <w:t>日</w:t>
      </w:r>
    </w:p>
    <w:p w14:paraId="7FE71585">
      <w:pPr>
        <w:wordWrap w:val="0"/>
        <w:spacing w:line="360" w:lineRule="auto"/>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r>
        <w:rPr>
          <w:rFonts w:hint="eastAsia" w:ascii="仿宋" w:hAnsi="仿宋" w:eastAsia="仿宋" w:cs="仿宋"/>
          <w:b/>
          <w:color w:val="auto"/>
          <w:sz w:val="24"/>
          <w:szCs w:val="24"/>
          <w:highlight w:val="none"/>
          <w:lang w:val="en-US" w:eastAsia="zh-CN"/>
        </w:rPr>
        <w:t>附件3：</w:t>
      </w:r>
    </w:p>
    <w:p w14:paraId="712738B9">
      <w:pPr>
        <w:wordWrap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施工现场安全管理目标承诺书</w:t>
      </w:r>
    </w:p>
    <w:p w14:paraId="2A2A11CB">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全面落实国家2021年9月1日起实施的新《安全生产法》有关“人民至上、生命至上”以人为本的指导思想，进一步促进乙方施工企业加强安全生产的目标化管理，强化安全生产责任，同时促进乙方施工现场安全化管理的具体落实，做到奖优罚劣，根据上级主管部门和甲方总公司要求，乙方所承接的改、扩建相关工程等，根据国家、地方的相关法律法规，规章和工程建设标准进行施工，对承建的建设工程施工安全全权负责。</w:t>
      </w:r>
    </w:p>
    <w:p w14:paraId="0A97143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现由</w:t>
      </w:r>
      <w:r>
        <w:rPr>
          <w:rFonts w:hint="eastAsia" w:ascii="仿宋" w:hAnsi="仿宋" w:eastAsia="仿宋" w:cs="仿宋"/>
          <w:color w:val="auto"/>
          <w:sz w:val="24"/>
          <w:szCs w:val="24"/>
          <w:highlight w:val="none"/>
          <w:lang w:eastAsia="zh-CN"/>
        </w:rPr>
        <w:t>元盛祥府精神堡垒制作及安装</w:t>
      </w:r>
      <w:r>
        <w:rPr>
          <w:rFonts w:hint="eastAsia" w:ascii="仿宋" w:hAnsi="仿宋" w:eastAsia="仿宋" w:cs="仿宋"/>
          <w:color w:val="auto"/>
          <w:sz w:val="24"/>
          <w:szCs w:val="24"/>
          <w:highlight w:val="none"/>
        </w:rPr>
        <w:t>乙方单位、项目经理向甲方签订施工现场安全管理目标承诺书。</w:t>
      </w:r>
    </w:p>
    <w:p w14:paraId="1C04A208">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（一）安全管理目标承诺</w:t>
      </w:r>
    </w:p>
    <w:p w14:paraId="4852C252">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1、事故管理</w:t>
      </w:r>
    </w:p>
    <w:p w14:paraId="5E22921D">
      <w:pPr>
        <w:wordWrap w:val="0"/>
        <w:spacing w:line="360" w:lineRule="auto"/>
        <w:ind w:firstLine="482"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本工程杜绝重大、一般伤亡事故发生（包括中毒、消防）。</w:t>
      </w:r>
      <w:r>
        <w:rPr>
          <w:rFonts w:hint="eastAsia" w:ascii="仿宋" w:hAnsi="仿宋" w:eastAsia="仿宋" w:cs="仿宋"/>
          <w:color w:val="auto"/>
          <w:sz w:val="24"/>
          <w:szCs w:val="24"/>
          <w:highlight w:val="none"/>
        </w:rPr>
        <w:t>轻伤事故率控制在1次。</w:t>
      </w:r>
    </w:p>
    <w:p w14:paraId="1447386A">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2、安全管理</w:t>
      </w:r>
    </w:p>
    <w:p w14:paraId="0E25AADC">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①按照乙方施工组织设计中采取的安全措施的项目执行率 100%，确保安全生产经费的投入。安全生产管理人员配备按照相应的法律法规，规章制度配备。</w:t>
      </w:r>
    </w:p>
    <w:p w14:paraId="26853F8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②施工现场每月组织二次由乙方总经理或项目经理组织的安全大检查。安全检查每周一次，发现的问题及时整改，整改率达到100%。</w:t>
      </w:r>
    </w:p>
    <w:p w14:paraId="4C93D038">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③施工现场乙方各级职能人员岗位责任制、目标责任书执行率  100%。安全技术交底覆盖率必须100%。</w:t>
      </w:r>
    </w:p>
    <w:p w14:paraId="2FCCF7AB">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④乙方施工现场脚手架及高处防护作业工程、施工用电、施工机械及物料运输提升设施验收合格率100%。</w:t>
      </w:r>
    </w:p>
    <w:p w14:paraId="78F4407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⑤乙方施工现场各类机械、机电设备完好率 100%。</w:t>
      </w:r>
    </w:p>
    <w:p w14:paraId="2A27C949">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3、安全教育</w:t>
      </w:r>
    </w:p>
    <w:p w14:paraId="5BF9402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乙方从业人员岗前三级教育100%以上，特种工人持证上岗率 100%，施工管理人员安全培训率 100%。</w:t>
      </w:r>
    </w:p>
    <w:p w14:paraId="42A7EBA4">
      <w:pPr>
        <w:wordWrap w:val="0"/>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（二）其它</w:t>
      </w:r>
    </w:p>
    <w:p w14:paraId="44CB58DE">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1、本施工现场安全管理目标承诺书所承诺内容应符合有关安全生产的法律、法规要求，并与乙方企业安全资质级别相符，能代表企业安全管理的整体水平。</w:t>
      </w:r>
    </w:p>
    <w:p w14:paraId="1C61BDC6">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2、本乙方及其项目部将按“一标准四规范”，定期或不定期对在建工程进行安全检查，落实安全承诺内容。</w:t>
      </w:r>
    </w:p>
    <w:p w14:paraId="502534A3">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3、如未达到上述承诺，乙方将自愿按甲方企业标准的相关管理规定承担全部经济责任及其相关全部法律后果。</w:t>
      </w:r>
    </w:p>
    <w:p w14:paraId="4DC25B0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3、工程竣工后由建设工程质量、安全监督站核评本施工项目安全目标情况，并报甲方总公司作为年度考核的依据。</w:t>
      </w:r>
    </w:p>
    <w:p w14:paraId="08E89D2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b/>
          <w:color w:val="auto"/>
          <w:sz w:val="24"/>
          <w:szCs w:val="24"/>
          <w:highlight w:val="none"/>
        </w:rPr>
        <w:t>本承诺书于乙方进场前双方签订。</w:t>
      </w:r>
      <w:r>
        <w:rPr>
          <w:rFonts w:hint="eastAsia" w:ascii="仿宋" w:hAnsi="仿宋" w:eastAsia="仿宋" w:cs="仿宋"/>
          <w:color w:val="auto"/>
          <w:sz w:val="24"/>
          <w:szCs w:val="24"/>
          <w:highlight w:val="none"/>
        </w:rPr>
        <w:t>一式4份，甲方3份，乙方1份，均妥为保存以备各方核查。</w:t>
      </w:r>
    </w:p>
    <w:p w14:paraId="64137916">
      <w:pPr>
        <w:wordWrap w:val="0"/>
        <w:spacing w:line="360" w:lineRule="auto"/>
        <w:ind w:firstLine="480" w:firstLineChars="200"/>
        <w:rPr>
          <w:rFonts w:hint="eastAsia" w:ascii="仿宋" w:hAnsi="仿宋" w:eastAsia="仿宋" w:cs="仿宋"/>
          <w:color w:val="auto"/>
          <w:sz w:val="24"/>
          <w:szCs w:val="24"/>
          <w:highlight w:val="none"/>
        </w:rPr>
      </w:pPr>
    </w:p>
    <w:p w14:paraId="44513BD5">
      <w:pPr>
        <w:wordWrap w:val="0"/>
        <w:spacing w:line="360" w:lineRule="auto"/>
        <w:ind w:firstLine="480" w:firstLineChars="200"/>
        <w:rPr>
          <w:rFonts w:hint="eastAsia" w:ascii="仿宋" w:hAnsi="仿宋" w:eastAsia="仿宋" w:cs="仿宋"/>
          <w:color w:val="auto"/>
          <w:sz w:val="24"/>
          <w:szCs w:val="24"/>
          <w:highlight w:val="none"/>
        </w:rPr>
      </w:pPr>
    </w:p>
    <w:p w14:paraId="23267CBE">
      <w:pPr>
        <w:wordWrap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工程全称：</w:t>
      </w:r>
      <w:r>
        <w:rPr>
          <w:rFonts w:hint="eastAsia" w:ascii="仿宋" w:hAnsi="仿宋" w:eastAsia="仿宋" w:cs="仿宋"/>
          <w:color w:val="auto"/>
          <w:sz w:val="24"/>
          <w:szCs w:val="24"/>
          <w:highlight w:val="none"/>
          <w:lang w:eastAsia="zh-CN"/>
        </w:rPr>
        <w:t>元盛祥府精神堡垒制作及安装</w:t>
      </w:r>
    </w:p>
    <w:p w14:paraId="11CEF6B9">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工程地点：</w:t>
      </w:r>
      <w:r>
        <w:rPr>
          <w:rFonts w:hint="eastAsia" w:ascii="仿宋" w:hAnsi="仿宋" w:eastAsia="仿宋" w:cs="仿宋"/>
          <w:color w:val="auto"/>
          <w:sz w:val="24"/>
          <w:szCs w:val="24"/>
          <w:highlight w:val="none"/>
          <w:lang w:eastAsia="zh-CN"/>
        </w:rPr>
        <w:t>元盛祥府小区</w:t>
      </w:r>
    </w:p>
    <w:p w14:paraId="67B53D17">
      <w:pPr>
        <w:wordWrap w:val="0"/>
        <w:spacing w:line="360" w:lineRule="auto"/>
        <w:ind w:firstLine="480" w:firstLineChars="200"/>
        <w:rPr>
          <w:rFonts w:hint="eastAsia" w:ascii="仿宋" w:hAnsi="仿宋" w:eastAsia="仿宋" w:cs="仿宋"/>
          <w:color w:val="auto"/>
          <w:sz w:val="24"/>
          <w:szCs w:val="24"/>
          <w:highlight w:val="none"/>
        </w:rPr>
      </w:pPr>
    </w:p>
    <w:p w14:paraId="0ED93E45">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甲方（发包方）：</w:t>
      </w:r>
      <w:r>
        <w:rPr>
          <w:rFonts w:hint="eastAsia" w:ascii="仿宋" w:hAnsi="仿宋" w:eastAsia="仿宋" w:cs="仿宋"/>
          <w:bCs/>
          <w:color w:val="auto"/>
          <w:sz w:val="24"/>
          <w:szCs w:val="24"/>
          <w:highlight w:val="none"/>
          <w:lang w:eastAsia="zh-CN"/>
        </w:rPr>
        <w:t>新疆元盛美华房地产开发有限责任公司</w:t>
      </w:r>
      <w:r>
        <w:rPr>
          <w:rFonts w:hint="eastAsia" w:ascii="仿宋" w:hAnsi="仿宋" w:eastAsia="仿宋" w:cs="仿宋"/>
          <w:color w:val="auto"/>
          <w:sz w:val="24"/>
          <w:szCs w:val="24"/>
          <w:highlight w:val="none"/>
        </w:rPr>
        <w:t xml:space="preserve">     </w:t>
      </w:r>
    </w:p>
    <w:p w14:paraId="7FC7A7E6">
      <w:pPr>
        <w:wordWrap w:val="0"/>
        <w:spacing w:line="360" w:lineRule="auto"/>
        <w:ind w:firstLine="480" w:firstLineChars="200"/>
        <w:rPr>
          <w:rFonts w:hint="eastAsia" w:ascii="仿宋" w:hAnsi="仿宋" w:eastAsia="仿宋" w:cs="仿宋"/>
          <w:color w:val="auto"/>
          <w:sz w:val="24"/>
          <w:szCs w:val="24"/>
          <w:highlight w:val="none"/>
        </w:rPr>
      </w:pPr>
    </w:p>
    <w:p w14:paraId="7BC799DF">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甲方项目负责人（/）签字：            手机：</w:t>
      </w:r>
      <w:r>
        <w:rPr>
          <w:rFonts w:hint="eastAsia" w:ascii="仿宋" w:hAnsi="仿宋" w:eastAsia="仿宋" w:cs="仿宋"/>
          <w:bCs/>
          <w:color w:val="auto"/>
          <w:sz w:val="24"/>
          <w:szCs w:val="24"/>
          <w:highlight w:val="none"/>
        </w:rPr>
        <w:t>/</w:t>
      </w:r>
    </w:p>
    <w:p w14:paraId="27501829">
      <w:pPr>
        <w:wordWrap w:val="0"/>
        <w:spacing w:line="360" w:lineRule="auto"/>
        <w:ind w:firstLine="480" w:firstLineChars="200"/>
        <w:rPr>
          <w:rFonts w:hint="eastAsia" w:ascii="仿宋" w:hAnsi="仿宋" w:eastAsia="仿宋" w:cs="仿宋"/>
          <w:color w:val="auto"/>
          <w:sz w:val="24"/>
          <w:szCs w:val="24"/>
          <w:highlight w:val="none"/>
        </w:rPr>
      </w:pPr>
    </w:p>
    <w:p w14:paraId="6EAF5363">
      <w:pPr>
        <w:wordWrap w:val="0"/>
        <w:spacing w:line="360" w:lineRule="auto"/>
        <w:rPr>
          <w:rFonts w:hint="eastAsia" w:ascii="仿宋" w:hAnsi="仿宋" w:eastAsia="仿宋" w:cs="仿宋"/>
          <w:color w:val="auto"/>
          <w:sz w:val="24"/>
          <w:szCs w:val="24"/>
          <w:highlight w:val="none"/>
        </w:rPr>
      </w:pPr>
    </w:p>
    <w:p w14:paraId="1B97F524">
      <w:pPr>
        <w:wordWrap w:val="0"/>
        <w:spacing w:line="360" w:lineRule="auto"/>
        <w:ind w:firstLine="480" w:firstLineChars="200"/>
        <w:rPr>
          <w:rFonts w:hint="eastAsia" w:ascii="仿宋" w:hAnsi="仿宋" w:eastAsia="仿宋" w:cs="仿宋"/>
          <w:color w:val="auto"/>
          <w:sz w:val="24"/>
          <w:szCs w:val="24"/>
          <w:highlight w:val="none"/>
        </w:rPr>
      </w:pPr>
    </w:p>
    <w:p w14:paraId="3973A8CF">
      <w:pPr>
        <w:wordWrap w:val="0"/>
        <w:spacing w:line="360" w:lineRule="auto"/>
        <w:ind w:firstLine="480" w:firstLineChars="200"/>
        <w:rPr>
          <w:rFonts w:hint="eastAsia" w:ascii="仿宋" w:hAnsi="仿宋" w:eastAsia="仿宋" w:cs="仿宋"/>
          <w:color w:val="auto"/>
          <w:sz w:val="24"/>
          <w:szCs w:val="24"/>
          <w:highlight w:val="none"/>
        </w:rPr>
      </w:pPr>
    </w:p>
    <w:p w14:paraId="6EDC1E6B">
      <w:pPr>
        <w:wordWrap w:val="0"/>
        <w:spacing w:line="360" w:lineRule="auto"/>
        <w:ind w:firstLine="480" w:firstLineChars="200"/>
        <w:rPr>
          <w:rFonts w:hint="default" w:ascii="仿宋" w:hAnsi="仿宋" w:eastAsia="仿宋" w:cs="仿宋"/>
          <w:bCs/>
          <w:color w:val="auto"/>
          <w:sz w:val="24"/>
          <w:szCs w:val="24"/>
          <w:highlight w:val="none"/>
          <w:lang w:val="en-US"/>
        </w:rPr>
      </w:pPr>
      <w:r>
        <w:rPr>
          <w:rFonts w:hint="eastAsia" w:ascii="仿宋" w:hAnsi="仿宋" w:eastAsia="仿宋" w:cs="仿宋"/>
          <w:color w:val="auto"/>
          <w:sz w:val="24"/>
          <w:szCs w:val="24"/>
          <w:highlight w:val="none"/>
        </w:rPr>
        <w:t>乙方单位（盖章）：</w:t>
      </w:r>
      <w:r>
        <w:rPr>
          <w:rFonts w:hint="eastAsia" w:ascii="仿宋" w:hAnsi="仿宋" w:eastAsia="仿宋" w:cs="仿宋"/>
          <w:bCs/>
          <w:color w:val="auto"/>
          <w:sz w:val="24"/>
          <w:szCs w:val="24"/>
          <w:highlight w:val="none"/>
          <w:lang w:val="en-US" w:eastAsia="zh-CN"/>
        </w:rPr>
        <w:t>乌鲁木齐薪薪森林广告有限公司</w:t>
      </w:r>
    </w:p>
    <w:p w14:paraId="3DEFFE07">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7A3091EE">
      <w:pPr>
        <w:wordWrap w:val="0"/>
        <w:spacing w:line="360" w:lineRule="auto"/>
        <w:ind w:firstLine="480" w:firstLineChars="200"/>
        <w:rPr>
          <w:rFonts w:hint="default"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乙方法人代表（</w:t>
      </w:r>
      <w:r>
        <w:rPr>
          <w:rFonts w:hint="eastAsia" w:ascii="仿宋" w:hAnsi="仿宋" w:eastAsia="仿宋" w:cs="仿宋"/>
          <w:bCs/>
          <w:color w:val="auto"/>
          <w:sz w:val="24"/>
          <w:szCs w:val="24"/>
          <w:highlight w:val="none"/>
          <w:lang w:val="en-US" w:eastAsia="zh-CN"/>
        </w:rPr>
        <w:t>罗海明</w:t>
      </w:r>
      <w:r>
        <w:rPr>
          <w:rFonts w:hint="eastAsia" w:ascii="仿宋" w:hAnsi="仿宋" w:eastAsia="仿宋" w:cs="仿宋"/>
          <w:bCs/>
          <w:color w:val="auto"/>
          <w:sz w:val="24"/>
          <w:szCs w:val="24"/>
          <w:highlight w:val="none"/>
        </w:rPr>
        <w:t>）面签或私章：       联系方式：</w:t>
      </w:r>
      <w:r>
        <w:rPr>
          <w:rFonts w:hint="eastAsia" w:ascii="仿宋" w:hAnsi="仿宋" w:eastAsia="仿宋" w:cs="仿宋"/>
          <w:bCs/>
          <w:color w:val="auto"/>
          <w:sz w:val="24"/>
          <w:szCs w:val="24"/>
          <w:highlight w:val="none"/>
          <w:lang w:val="en-US" w:eastAsia="zh-CN"/>
        </w:rPr>
        <w:t>15276655660</w:t>
      </w:r>
    </w:p>
    <w:p w14:paraId="3585825E">
      <w:pPr>
        <w:wordWrap w:val="0"/>
        <w:spacing w:line="360" w:lineRule="auto"/>
        <w:rPr>
          <w:rFonts w:hint="eastAsia" w:ascii="仿宋" w:hAnsi="仿宋" w:eastAsia="仿宋" w:cs="仿宋"/>
          <w:color w:val="auto"/>
          <w:sz w:val="24"/>
          <w:szCs w:val="24"/>
          <w:highlight w:val="none"/>
        </w:rPr>
      </w:pPr>
    </w:p>
    <w:p w14:paraId="13727DED">
      <w:pPr>
        <w:wordWrap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乙方经办人（如有）（）面签：       联系方式：</w:t>
      </w:r>
    </w:p>
    <w:p w14:paraId="336EB7C4">
      <w:pPr>
        <w:wordWrap w:val="0"/>
        <w:spacing w:line="360" w:lineRule="auto"/>
        <w:ind w:firstLine="480" w:firstLineChars="200"/>
        <w:rPr>
          <w:rFonts w:hint="eastAsia" w:ascii="仿宋" w:hAnsi="仿宋" w:eastAsia="仿宋" w:cs="仿宋"/>
          <w:color w:val="auto"/>
          <w:sz w:val="24"/>
          <w:szCs w:val="24"/>
          <w:highlight w:val="none"/>
        </w:rPr>
      </w:pPr>
    </w:p>
    <w:p w14:paraId="3D02861C">
      <w:pPr>
        <w:wordWrap w:val="0"/>
        <w:spacing w:line="360" w:lineRule="auto"/>
        <w:jc w:val="center"/>
        <w:rPr>
          <w:rFonts w:hint="eastAsia" w:ascii="仿宋" w:hAnsi="仿宋" w:eastAsia="仿宋" w:cs="仿宋"/>
          <w:b/>
          <w:bCs/>
          <w:color w:val="auto"/>
          <w:sz w:val="24"/>
          <w:szCs w:val="24"/>
          <w:highlight w:val="none"/>
          <w:shd w:val="clear" w:color="auto" w:fill="auto"/>
          <w:lang w:val="en-US" w:eastAsia="zh-CN"/>
        </w:rPr>
      </w:pPr>
      <w:r>
        <w:rPr>
          <w:rFonts w:hint="eastAsia" w:ascii="仿宋" w:hAnsi="仿宋" w:eastAsia="仿宋" w:cs="仿宋"/>
          <w:b/>
          <w:color w:val="auto"/>
          <w:sz w:val="24"/>
          <w:szCs w:val="24"/>
          <w:highlight w:val="none"/>
        </w:rPr>
        <w:t>签订时间：202</w:t>
      </w:r>
      <w:r>
        <w:rPr>
          <w:rFonts w:hint="eastAsia" w:ascii="仿宋" w:hAnsi="仿宋" w:eastAsia="仿宋" w:cs="仿宋"/>
          <w:b/>
          <w:color w:val="auto"/>
          <w:sz w:val="24"/>
          <w:szCs w:val="24"/>
          <w:highlight w:val="none"/>
          <w:lang w:val="en-US" w:eastAsia="zh-CN"/>
        </w:rPr>
        <w:t>5</w:t>
      </w:r>
      <w:r>
        <w:rPr>
          <w:rFonts w:hint="eastAsia" w:ascii="仿宋" w:hAnsi="仿宋" w:eastAsia="仿宋" w:cs="仿宋"/>
          <w:b/>
          <w:color w:val="auto"/>
          <w:sz w:val="24"/>
          <w:szCs w:val="24"/>
          <w:highlight w:val="none"/>
        </w:rPr>
        <w:t>年</w:t>
      </w: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月</w:t>
      </w:r>
      <w:r>
        <w:rPr>
          <w:rFonts w:hint="eastAsia" w:ascii="仿宋" w:hAnsi="仿宋" w:eastAsia="仿宋" w:cs="仿宋"/>
          <w:b/>
          <w:color w:val="auto"/>
          <w:sz w:val="24"/>
          <w:szCs w:val="24"/>
          <w:highlight w:val="none"/>
          <w:lang w:val="en-US" w:eastAsia="zh-CN"/>
        </w:rPr>
        <w:t>6</w:t>
      </w:r>
      <w:r>
        <w:rPr>
          <w:rFonts w:hint="eastAsia" w:ascii="仿宋" w:hAnsi="仿宋" w:eastAsia="仿宋" w:cs="仿宋"/>
          <w:b/>
          <w:color w:val="auto"/>
          <w:sz w:val="24"/>
          <w:szCs w:val="24"/>
          <w:highlight w:val="none"/>
        </w:rPr>
        <w:t>日</w:t>
      </w:r>
    </w:p>
    <w:p w14:paraId="6999CD39">
      <w:pPr>
        <w:pStyle w:val="2"/>
        <w:spacing w:line="288" w:lineRule="auto"/>
        <w:ind w:firstLine="0"/>
        <w:jc w:val="left"/>
        <w:rPr>
          <w:rFonts w:hint="eastAsia" w:ascii="仿宋" w:hAnsi="仿宋" w:eastAsia="仿宋" w:cs="仿宋"/>
          <w:color w:val="auto"/>
          <w:sz w:val="24"/>
          <w:szCs w:val="24"/>
          <w:highlight w:val="none"/>
          <w:lang w:val="en-US" w:eastAsia="zh-CN"/>
        </w:rPr>
      </w:pPr>
    </w:p>
    <w:sectPr>
      <w:pgSz w:w="11906" w:h="16838"/>
      <w:pgMar w:top="1440" w:right="1803" w:bottom="1440" w:left="1803" w:header="851" w:footer="992"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思源黑体 CN Medium">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77D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F57E66">
                          <w:pPr>
                            <w:pStyle w:val="6"/>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27</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1F57E66">
                    <w:pPr>
                      <w:pStyle w:val="6"/>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27</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8E070">
    <w:pPr>
      <w:pStyle w:val="7"/>
      <w:jc w:val="right"/>
      <w:rPr>
        <w:rFonts w:hint="default"/>
        <w:lang w:val="en-US" w:eastAsia="zh-CN"/>
      </w:rPr>
    </w:pPr>
    <w:r>
      <w:rPr>
        <w:rFonts w:hint="eastAsia"/>
      </w:rPr>
      <w:t>同编号：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8B1BA8"/>
    <w:rsid w:val="048B1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pPr>
    <w:rPr>
      <w:rFonts w:ascii="Calibri" w:hAnsi="Calibri" w:eastAsia="宋体"/>
      <w:sz w:val="20"/>
    </w:rPr>
  </w:style>
  <w:style w:type="paragraph" w:styleId="3">
    <w:name w:val="Body Text"/>
    <w:basedOn w:val="1"/>
    <w:qFormat/>
    <w:uiPriority w:val="0"/>
    <w:pPr>
      <w:spacing w:line="480" w:lineRule="auto"/>
    </w:pPr>
    <w:rPr>
      <w:sz w:val="24"/>
    </w:rPr>
  </w:style>
  <w:style w:type="paragraph" w:styleId="4">
    <w:name w:val="Body Text Indent"/>
    <w:basedOn w:val="1"/>
    <w:qFormat/>
    <w:uiPriority w:val="1624"/>
    <w:pPr>
      <w:spacing w:line="420" w:lineRule="exact"/>
      <w:ind w:firstLine="420" w:firstLineChars="200"/>
    </w:pPr>
    <w:rPr>
      <w:color w:val="FF0000"/>
    </w:rPr>
  </w:style>
  <w:style w:type="paragraph" w:styleId="5">
    <w:name w:val="Plain Text"/>
    <w:basedOn w:val="1"/>
    <w:qFormat/>
    <w:uiPriority w:val="0"/>
    <w:rPr>
      <w:rFonts w:ascii="宋体" w:hAnsi="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font71"/>
    <w:basedOn w:val="9"/>
    <w:uiPriority w:val="0"/>
    <w:rPr>
      <w:rFonts w:hint="eastAsia" w:ascii="微软雅黑" w:hAnsi="微软雅黑" w:eastAsia="微软雅黑" w:cs="微软雅黑"/>
      <w:b/>
      <w:bCs/>
      <w:color w:val="000000"/>
      <w:sz w:val="18"/>
      <w:szCs w:val="18"/>
      <w:u w:val="single"/>
    </w:rPr>
  </w:style>
  <w:style w:type="character" w:customStyle="1" w:styleId="11">
    <w:name w:val="font81"/>
    <w:basedOn w:val="9"/>
    <w:uiPriority w:val="0"/>
    <w:rPr>
      <w:rFonts w:hint="eastAsia" w:ascii="微软雅黑" w:hAnsi="微软雅黑" w:eastAsia="微软雅黑" w:cs="微软雅黑"/>
      <w:b/>
      <w:bCs/>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26</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2025-03-06T02:47:00Z</dcterms:created>
  <dc:creator>Leslie</dc:creator>
  <cp:lastModifiedBy>Leslie</cp:lastModifiedBy>
  <dcterms:modified xsi:type="dcterms:W3CDTF">2025-03-06T03:46:37Z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44EE797AF5E44539A492B031814B8057_11</vt:lpwstr>
  </property>
  <property fmtid="{D5CDD505-2E9C-101B-9397-08002B2CF9AE}" pid="4" name="KSOTemplateDocerSaveRecord">
    <vt:lpwstr>eyJoZGlkIjoiN2JhOGU4YmU0NGNkNTIzODg5NzIyNWQ2N2NmMTJkODIiLCJ1c2VySWQiOiIyMjczMTg5MzEifQ==</vt:lpwstr>
  </property>
</Properties>
</file>