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4D8D2">
      <w:pPr>
        <w:snapToGrid w:val="0"/>
        <w:ind w:firstLine="1044" w:firstLineChars="200"/>
        <w:jc w:val="center"/>
        <w:rPr>
          <w:rFonts w:hint="default" w:ascii="仿宋" w:hAnsi="仿宋" w:eastAsia="仿宋"/>
          <w:b/>
          <w:color w:val="auto"/>
          <w:sz w:val="52"/>
          <w:szCs w:val="52"/>
          <w:highlight w:val="none"/>
          <w:u w:val="single"/>
          <w:lang w:val="en-US" w:eastAsia="zh-CN"/>
        </w:rPr>
      </w:pPr>
    </w:p>
    <w:p w14:paraId="262F4DCE">
      <w:pPr>
        <w:snapToGrid w:val="0"/>
        <w:ind w:firstLine="1044" w:firstLineChars="200"/>
        <w:jc w:val="center"/>
        <w:rPr>
          <w:rFonts w:hint="default" w:ascii="仿宋" w:hAnsi="仿宋" w:eastAsia="仿宋"/>
          <w:b/>
          <w:color w:val="auto"/>
          <w:sz w:val="52"/>
          <w:szCs w:val="52"/>
          <w:highlight w:val="none"/>
          <w:u w:val="single"/>
          <w:lang w:val="en-US" w:eastAsia="zh-CN"/>
        </w:rPr>
      </w:pPr>
    </w:p>
    <w:p w14:paraId="7482F105">
      <w:pPr>
        <w:snapToGrid w:val="0"/>
        <w:ind w:firstLine="0" w:firstLineChars="0"/>
        <w:jc w:val="center"/>
        <w:rPr>
          <w:rFonts w:ascii="仿宋" w:hAnsi="仿宋" w:eastAsia="仿宋"/>
          <w:b/>
          <w:color w:val="auto"/>
          <w:sz w:val="52"/>
          <w:szCs w:val="52"/>
          <w:highlight w:val="none"/>
        </w:rPr>
      </w:pPr>
      <w:r>
        <w:rPr>
          <w:rFonts w:hint="eastAsia" w:ascii="仿宋" w:hAnsi="仿宋" w:eastAsia="仿宋"/>
          <w:b/>
          <w:color w:val="auto"/>
          <w:sz w:val="52"/>
          <w:szCs w:val="52"/>
          <w:highlight w:val="none"/>
        </w:rPr>
        <w:t>【</w:t>
      </w:r>
      <w:r>
        <w:rPr>
          <w:rFonts w:hint="eastAsia" w:ascii="仿宋" w:hAnsi="仿宋" w:eastAsia="仿宋"/>
          <w:b/>
          <w:color w:val="auto"/>
          <w:sz w:val="52"/>
          <w:szCs w:val="52"/>
          <w:highlight w:val="none"/>
          <w:lang w:val="en-US" w:eastAsia="zh-CN"/>
        </w:rPr>
        <w:t>田园文苑</w:t>
      </w:r>
      <w:r>
        <w:rPr>
          <w:rFonts w:hint="eastAsia" w:ascii="仿宋" w:hAnsi="仿宋" w:eastAsia="仿宋"/>
          <w:b/>
          <w:color w:val="auto"/>
          <w:sz w:val="52"/>
          <w:szCs w:val="52"/>
          <w:highlight w:val="none"/>
        </w:rPr>
        <w:t>】项目渠道服务合同</w:t>
      </w:r>
    </w:p>
    <w:p w14:paraId="6D3DF478">
      <w:pPr>
        <w:snapToGrid w:val="0"/>
        <w:ind w:firstLine="1044" w:firstLineChars="200"/>
        <w:jc w:val="center"/>
        <w:rPr>
          <w:rFonts w:ascii="仿宋" w:hAnsi="仿宋" w:eastAsia="仿宋"/>
          <w:b/>
          <w:color w:val="auto"/>
          <w:sz w:val="52"/>
          <w:szCs w:val="52"/>
          <w:highlight w:val="none"/>
        </w:rPr>
      </w:pPr>
    </w:p>
    <w:p w14:paraId="2D5DA7CB">
      <w:pPr>
        <w:snapToGrid w:val="0"/>
        <w:ind w:firstLine="0" w:firstLineChars="0"/>
        <w:jc w:val="center"/>
        <w:rPr>
          <w:rFonts w:ascii="仿宋" w:hAnsi="仿宋" w:eastAsia="仿宋"/>
          <w:b/>
          <w:color w:val="auto"/>
          <w:sz w:val="40"/>
          <w:szCs w:val="52"/>
          <w:highlight w:val="none"/>
        </w:rPr>
      </w:pPr>
      <w:r>
        <w:rPr>
          <w:rFonts w:hint="eastAsia" w:ascii="仿宋" w:hAnsi="仿宋" w:eastAsia="仿宋"/>
          <w:b/>
          <w:color w:val="auto"/>
          <w:sz w:val="40"/>
          <w:szCs w:val="52"/>
          <w:highlight w:val="none"/>
        </w:rPr>
        <w:t xml:space="preserve">（合同编号：  </w:t>
      </w:r>
      <w:r>
        <w:rPr>
          <w:rFonts w:hint="eastAsia" w:ascii="仿宋" w:hAnsi="仿宋" w:eastAsia="仿宋"/>
          <w:b/>
          <w:color w:val="auto"/>
          <w:sz w:val="40"/>
          <w:szCs w:val="52"/>
          <w:highlight w:val="none"/>
          <w:lang w:val="en-US" w:eastAsia="zh-CN"/>
        </w:rPr>
        <w:t>20250825001</w:t>
      </w:r>
      <w:bookmarkStart w:id="0" w:name="_GoBack"/>
      <w:bookmarkEnd w:id="0"/>
      <w:r>
        <w:rPr>
          <w:rFonts w:hint="eastAsia" w:ascii="仿宋" w:hAnsi="仿宋" w:eastAsia="仿宋"/>
          <w:b/>
          <w:color w:val="auto"/>
          <w:sz w:val="40"/>
          <w:szCs w:val="52"/>
          <w:highlight w:val="none"/>
        </w:rPr>
        <w:t>）</w:t>
      </w:r>
    </w:p>
    <w:p w14:paraId="3E206540">
      <w:pPr>
        <w:snapToGrid w:val="0"/>
        <w:ind w:firstLine="1044" w:firstLineChars="200"/>
        <w:rPr>
          <w:rFonts w:ascii="仿宋" w:hAnsi="仿宋" w:eastAsia="仿宋"/>
          <w:b/>
          <w:color w:val="auto"/>
          <w:sz w:val="52"/>
          <w:szCs w:val="52"/>
          <w:highlight w:val="none"/>
        </w:rPr>
      </w:pPr>
    </w:p>
    <w:p w14:paraId="66447CD7">
      <w:pPr>
        <w:snapToGrid w:val="0"/>
        <w:ind w:firstLine="1044" w:firstLineChars="200"/>
        <w:rPr>
          <w:rFonts w:ascii="仿宋" w:hAnsi="仿宋" w:eastAsia="仿宋"/>
          <w:b/>
          <w:color w:val="auto"/>
          <w:sz w:val="52"/>
          <w:szCs w:val="52"/>
          <w:highlight w:val="none"/>
        </w:rPr>
      </w:pPr>
    </w:p>
    <w:p w14:paraId="6C5E7388">
      <w:pPr>
        <w:snapToGrid w:val="0"/>
        <w:ind w:firstLine="1044" w:firstLineChars="200"/>
        <w:rPr>
          <w:rFonts w:ascii="仿宋" w:hAnsi="仿宋" w:eastAsia="仿宋"/>
          <w:b/>
          <w:color w:val="auto"/>
          <w:sz w:val="52"/>
          <w:szCs w:val="52"/>
          <w:highlight w:val="none"/>
        </w:rPr>
      </w:pPr>
    </w:p>
    <w:p w14:paraId="2070FD52">
      <w:pPr>
        <w:snapToGrid w:val="0"/>
        <w:ind w:firstLine="1044" w:firstLineChars="200"/>
        <w:rPr>
          <w:rFonts w:ascii="仿宋" w:hAnsi="仿宋" w:eastAsia="仿宋"/>
          <w:b/>
          <w:color w:val="auto"/>
          <w:sz w:val="52"/>
          <w:szCs w:val="52"/>
          <w:highlight w:val="none"/>
        </w:rPr>
      </w:pPr>
    </w:p>
    <w:p w14:paraId="3FE0661D">
      <w:pPr>
        <w:snapToGrid w:val="0"/>
        <w:rPr>
          <w:rFonts w:ascii="仿宋" w:hAnsi="仿宋" w:eastAsia="仿宋"/>
          <w:b/>
          <w:color w:val="auto"/>
          <w:sz w:val="48"/>
          <w:szCs w:val="52"/>
          <w:highlight w:val="none"/>
        </w:rPr>
      </w:pPr>
      <w:r>
        <w:rPr>
          <w:rFonts w:hint="eastAsia" w:ascii="仿宋" w:hAnsi="仿宋" w:eastAsia="仿宋"/>
          <w:b/>
          <w:color w:val="auto"/>
          <w:sz w:val="44"/>
          <w:szCs w:val="52"/>
          <w:highlight w:val="none"/>
        </w:rPr>
        <w:t>甲方：【</w:t>
      </w:r>
      <w:r>
        <w:rPr>
          <w:rFonts w:hint="eastAsia" w:ascii="仿宋" w:hAnsi="仿宋" w:eastAsia="仿宋"/>
          <w:b/>
          <w:color w:val="auto"/>
          <w:sz w:val="44"/>
          <w:szCs w:val="52"/>
          <w:highlight w:val="none"/>
          <w:lang w:val="en-US" w:eastAsia="zh-CN"/>
        </w:rPr>
        <w:t>新疆元盛美华房地产开发有限责任公司</w:t>
      </w:r>
      <w:r>
        <w:rPr>
          <w:rFonts w:hint="eastAsia" w:ascii="仿宋" w:hAnsi="仿宋" w:eastAsia="仿宋"/>
          <w:b/>
          <w:color w:val="auto"/>
          <w:sz w:val="44"/>
          <w:szCs w:val="52"/>
          <w:highlight w:val="none"/>
        </w:rPr>
        <w:t>】</w:t>
      </w:r>
      <w:r>
        <w:rPr>
          <w:rFonts w:hint="eastAsia"/>
          <w:b/>
          <w:color w:val="auto"/>
          <w:sz w:val="24"/>
          <w:highlight w:val="none"/>
          <w:u w:val="single"/>
        </w:rPr>
        <w:t>（以下简称“甲方”）</w:t>
      </w:r>
    </w:p>
    <w:p w14:paraId="1498783E">
      <w:pPr>
        <w:snapToGrid w:val="0"/>
        <w:rPr>
          <w:rFonts w:ascii="仿宋" w:hAnsi="仿宋" w:eastAsia="仿宋"/>
          <w:b/>
          <w:color w:val="auto"/>
          <w:sz w:val="48"/>
          <w:szCs w:val="52"/>
          <w:highlight w:val="none"/>
        </w:rPr>
      </w:pPr>
      <w:r>
        <w:rPr>
          <w:rFonts w:hint="eastAsia" w:ascii="仿宋" w:hAnsi="仿宋" w:eastAsia="仿宋"/>
          <w:b/>
          <w:color w:val="auto"/>
          <w:sz w:val="44"/>
          <w:szCs w:val="52"/>
          <w:highlight w:val="none"/>
        </w:rPr>
        <w:t>乙方：【</w:t>
      </w:r>
      <w:r>
        <w:rPr>
          <w:rFonts w:hint="eastAsia" w:ascii="仿宋" w:hAnsi="仿宋" w:eastAsia="仿宋" w:cs="仿宋"/>
          <w:b/>
          <w:bCs/>
          <w:sz w:val="44"/>
          <w:szCs w:val="44"/>
        </w:rPr>
        <w:t>新疆贝森房地产经纪有限公司</w:t>
      </w:r>
      <w:r>
        <w:rPr>
          <w:rFonts w:hint="eastAsia" w:ascii="仿宋" w:hAnsi="仿宋" w:eastAsia="仿宋"/>
          <w:b/>
          <w:color w:val="auto"/>
          <w:sz w:val="44"/>
          <w:szCs w:val="52"/>
          <w:highlight w:val="none"/>
        </w:rPr>
        <w:t>】</w:t>
      </w:r>
      <w:r>
        <w:rPr>
          <w:rFonts w:hint="eastAsia"/>
          <w:b/>
          <w:color w:val="auto"/>
          <w:sz w:val="24"/>
          <w:highlight w:val="none"/>
          <w:u w:val="single"/>
        </w:rPr>
        <w:t>（以下简称“乙方”）</w:t>
      </w:r>
    </w:p>
    <w:p w14:paraId="4984CDCD">
      <w:pPr>
        <w:snapToGrid w:val="0"/>
        <w:ind w:firstLine="0" w:firstLineChars="0"/>
        <w:jc w:val="left"/>
        <w:rPr>
          <w:rFonts w:hint="default" w:ascii="仿宋" w:hAnsi="仿宋" w:eastAsia="仿宋"/>
          <w:b/>
          <w:color w:val="auto"/>
          <w:sz w:val="44"/>
          <w:szCs w:val="52"/>
          <w:highlight w:val="none"/>
          <w:u w:val="none"/>
          <w:lang w:val="en-US" w:eastAsia="zh-CN"/>
        </w:rPr>
      </w:pPr>
      <w:r>
        <w:rPr>
          <w:rFonts w:hint="eastAsia" w:ascii="仿宋" w:hAnsi="仿宋" w:eastAsia="仿宋"/>
          <w:b/>
          <w:color w:val="auto"/>
          <w:sz w:val="44"/>
          <w:szCs w:val="52"/>
          <w:highlight w:val="none"/>
          <w:u w:val="none"/>
          <w:lang w:val="en-US" w:eastAsia="zh-CN"/>
        </w:rPr>
        <w:t>合同签订时间：【2025】年【8】月【10】日</w:t>
      </w:r>
    </w:p>
    <w:p w14:paraId="7DFC0DDB">
      <w:pPr>
        <w:snapToGrid w:val="0"/>
        <w:ind w:firstLine="482" w:firstLineChars="200"/>
        <w:jc w:val="center"/>
        <w:rPr>
          <w:rFonts w:ascii="仿宋" w:hAnsi="仿宋" w:eastAsia="仿宋"/>
          <w:b/>
          <w:color w:val="auto"/>
          <w:sz w:val="24"/>
          <w:highlight w:val="none"/>
          <w:u w:val="single"/>
        </w:rPr>
      </w:pPr>
    </w:p>
    <w:p w14:paraId="63EB2A58">
      <w:pPr>
        <w:snapToGrid w:val="0"/>
        <w:ind w:firstLine="482" w:firstLineChars="200"/>
        <w:jc w:val="center"/>
        <w:rPr>
          <w:rFonts w:ascii="仿宋" w:hAnsi="仿宋" w:eastAsia="仿宋"/>
          <w:b/>
          <w:color w:val="auto"/>
          <w:sz w:val="24"/>
          <w:highlight w:val="none"/>
          <w:u w:val="single"/>
        </w:rPr>
      </w:pPr>
    </w:p>
    <w:p w14:paraId="65B7A4B8">
      <w:pPr>
        <w:adjustRightInd w:val="0"/>
        <w:snapToGrid w:val="0"/>
        <w:ind w:firstLine="480" w:firstLineChars="200"/>
        <w:rPr>
          <w:rFonts w:hint="eastAsia" w:ascii="仿宋" w:hAnsi="仿宋" w:eastAsia="仿宋"/>
          <w:color w:val="auto"/>
          <w:sz w:val="24"/>
          <w:highlight w:val="none"/>
        </w:rPr>
        <w:sectPr>
          <w:headerReference r:id="rId3" w:type="default"/>
          <w:footerReference r:id="rId4" w:type="default"/>
          <w:pgSz w:w="11906" w:h="16838"/>
          <w:pgMar w:top="1440" w:right="1080" w:bottom="1440" w:left="1080" w:header="851" w:footer="992" w:gutter="0"/>
          <w:pgNumType w:fmt="decimal" w:start="1"/>
          <w:cols w:space="720" w:num="1"/>
          <w:docGrid w:type="lines" w:linePitch="312" w:charSpace="0"/>
        </w:sectPr>
      </w:pPr>
    </w:p>
    <w:p w14:paraId="59F8F1B7">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甲方：【新疆元盛美华房地产开发】有限责任公司</w:t>
      </w:r>
    </w:p>
    <w:p w14:paraId="7DF49D2E">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法定代表人：【李倩】</w:t>
      </w:r>
    </w:p>
    <w:p w14:paraId="0D097C8F">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联系地址：【新疆乌鲁木齐市高新技术产业开发区（新市区）北京中路256号201室】</w:t>
      </w:r>
    </w:p>
    <w:p w14:paraId="3DD94D20">
      <w:pPr>
        <w:adjustRightInd w:val="0"/>
        <w:snapToGrid w:val="0"/>
        <w:ind w:firstLine="480" w:firstLineChars="200"/>
        <w:rPr>
          <w:rFonts w:hint="default" w:ascii="仿宋" w:hAnsi="仿宋" w:eastAsia="仿宋"/>
          <w:color w:val="auto"/>
          <w:sz w:val="24"/>
          <w:highlight w:val="none"/>
          <w:lang w:val="en-US" w:eastAsia="zh-CN"/>
        </w:rPr>
      </w:pPr>
      <w:r>
        <w:rPr>
          <w:rFonts w:hint="eastAsia" w:ascii="仿宋" w:hAnsi="仿宋" w:eastAsia="仿宋"/>
          <w:color w:val="auto"/>
          <w:sz w:val="24"/>
          <w:highlight w:val="none"/>
        </w:rPr>
        <w:t>联系电话：【17797822272】</w:t>
      </w:r>
    </w:p>
    <w:p w14:paraId="32E46B92">
      <w:pPr>
        <w:adjustRightInd w:val="0"/>
        <w:snapToGrid w:val="0"/>
        <w:ind w:firstLine="480" w:firstLineChars="200"/>
        <w:rPr>
          <w:rFonts w:ascii="仿宋" w:hAnsi="仿宋" w:eastAsia="仿宋"/>
          <w:color w:val="auto"/>
          <w:sz w:val="24"/>
          <w:highlight w:val="none"/>
        </w:rPr>
      </w:pPr>
    </w:p>
    <w:p w14:paraId="397922A0">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乙方：【</w:t>
      </w:r>
      <w:r>
        <w:rPr>
          <w:rFonts w:hint="eastAsia" w:ascii="仿宋" w:hAnsi="仿宋" w:eastAsia="仿宋" w:cs="仿宋"/>
          <w:sz w:val="24"/>
          <w:szCs w:val="24"/>
        </w:rPr>
        <w:t>新疆贝森房地产经纪有限公司</w:t>
      </w:r>
      <w:r>
        <w:rPr>
          <w:rFonts w:hint="eastAsia" w:ascii="仿宋" w:hAnsi="仿宋" w:eastAsia="仿宋"/>
          <w:color w:val="auto"/>
          <w:sz w:val="24"/>
          <w:highlight w:val="none"/>
        </w:rPr>
        <w:t>】</w:t>
      </w:r>
    </w:p>
    <w:p w14:paraId="49704974">
      <w:pPr>
        <w:adjustRightInd w:val="0"/>
        <w:snapToGrid w:val="0"/>
        <w:ind w:firstLine="480" w:firstLineChars="200"/>
        <w:rPr>
          <w:rFonts w:hint="eastAsia" w:ascii="仿宋" w:hAnsi="仿宋" w:eastAsia="仿宋"/>
          <w:color w:val="auto"/>
          <w:sz w:val="24"/>
          <w:highlight w:val="none"/>
          <w:lang w:eastAsia="zh-CN"/>
        </w:rPr>
      </w:pPr>
      <w:r>
        <w:rPr>
          <w:rFonts w:hint="eastAsia" w:ascii="仿宋" w:hAnsi="仿宋" w:eastAsia="仿宋"/>
          <w:color w:val="auto"/>
          <w:sz w:val="24"/>
          <w:highlight w:val="none"/>
        </w:rPr>
        <w:t>法定代表人：</w:t>
      </w:r>
      <w:r>
        <w:rPr>
          <w:rFonts w:hint="eastAsia" w:ascii="仿宋" w:hAnsi="仿宋" w:eastAsia="仿宋"/>
          <w:color w:val="auto"/>
          <w:sz w:val="24"/>
          <w:highlight w:val="none"/>
          <w:lang w:eastAsia="zh-CN"/>
        </w:rPr>
        <w:t>【</w:t>
      </w:r>
      <w:r>
        <w:rPr>
          <w:rFonts w:hint="eastAsia" w:ascii="仿宋" w:hAnsi="仿宋" w:eastAsia="仿宋" w:cs="仿宋"/>
          <w:sz w:val="24"/>
          <w:szCs w:val="24"/>
        </w:rPr>
        <w:t>吴义环</w:t>
      </w:r>
      <w:r>
        <w:rPr>
          <w:rFonts w:hint="eastAsia" w:ascii="仿宋" w:hAnsi="仿宋" w:eastAsia="仿宋" w:cs="仿宋"/>
          <w:sz w:val="24"/>
          <w:szCs w:val="24"/>
          <w:lang w:eastAsia="zh-CN"/>
        </w:rPr>
        <w:t>】</w:t>
      </w:r>
    </w:p>
    <w:p w14:paraId="5A691605">
      <w:pPr>
        <w:adjustRightInd w:val="0"/>
        <w:snapToGrid w:val="0"/>
        <w:ind w:left="479" w:leftChars="228" w:firstLine="0" w:firstLineChars="0"/>
        <w:rPr>
          <w:rFonts w:hint="eastAsia" w:ascii="仿宋" w:hAnsi="仿宋" w:eastAsia="仿宋" w:cs="仿宋"/>
          <w:color w:val="auto"/>
          <w:sz w:val="28"/>
          <w:szCs w:val="28"/>
          <w:highlight w:val="none"/>
        </w:rPr>
      </w:pPr>
      <w:r>
        <w:rPr>
          <w:rFonts w:hint="eastAsia" w:ascii="仿宋" w:hAnsi="仿宋" w:eastAsia="仿宋"/>
          <w:color w:val="auto"/>
          <w:sz w:val="24"/>
          <w:highlight w:val="none"/>
        </w:rPr>
        <w:t>联系地址：</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新疆乌鲁木齐水磨沟区红光山路888号绿城广场01栋1#商业综合楼（A、B座）B单元商务办公501室</w:t>
      </w:r>
    </w:p>
    <w:p w14:paraId="3EB9F219">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lang w:val="en-US" w:eastAsia="zh-CN"/>
        </w:rPr>
        <w:t>联系电话：【13579845720】</w:t>
      </w:r>
      <w:r>
        <w:rPr>
          <w:rFonts w:hint="eastAsia" w:ascii="仿宋" w:hAnsi="仿宋" w:eastAsia="仿宋"/>
          <w:color w:val="auto"/>
          <w:sz w:val="24"/>
          <w:highlight w:val="none"/>
        </w:rPr>
        <w:t xml:space="preserve"> </w:t>
      </w:r>
      <w:r>
        <w:rPr>
          <w:color w:val="auto"/>
          <w:highlight w:val="none"/>
        </w:rPr>
        <w:fldChar w:fldCharType="begin"/>
      </w:r>
      <w:r>
        <w:rPr>
          <w:color w:val="auto"/>
          <w:highlight w:val="none"/>
        </w:rPr>
        <w:instrText xml:space="preserve"> HYPERLINK "https://www.tianyancha.com/map/3222205827" \t "https://www.tianyancha.com/company/_blank" </w:instrText>
      </w:r>
      <w:r>
        <w:rPr>
          <w:color w:val="auto"/>
          <w:highlight w:val="none"/>
        </w:rPr>
        <w:fldChar w:fldCharType="separate"/>
      </w:r>
      <w:r>
        <w:rPr>
          <w:color w:val="auto"/>
          <w:highlight w:val="none"/>
        </w:rPr>
        <w:fldChar w:fldCharType="end"/>
      </w:r>
    </w:p>
    <w:p w14:paraId="36E33817">
      <w:pPr>
        <w:adjustRightInd w:val="0"/>
        <w:snapToGrid w:val="0"/>
        <w:ind w:firstLine="480" w:firstLineChars="200"/>
        <w:rPr>
          <w:rFonts w:ascii="仿宋" w:hAnsi="仿宋" w:eastAsia="仿宋"/>
          <w:color w:val="auto"/>
          <w:sz w:val="24"/>
          <w:highlight w:val="none"/>
        </w:rPr>
      </w:pPr>
    </w:p>
    <w:p w14:paraId="31619271">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依据《中华人民共和国民法典》以及其他相关法律、法规、规章等规定，甲、乙双方在平等协商的基础上，就甲方委托乙方向甲方所开发的</w:t>
      </w:r>
      <w:r>
        <w:rPr>
          <w:rFonts w:hint="eastAsia" w:ascii="仿宋" w:hAnsi="仿宋" w:eastAsia="仿宋"/>
          <w:color w:val="auto"/>
          <w:sz w:val="24"/>
          <w:highlight w:val="none"/>
          <w:u w:val="thick"/>
        </w:rPr>
        <w:t>【</w:t>
      </w:r>
      <w:r>
        <w:rPr>
          <w:rFonts w:hint="eastAsia" w:ascii="仿宋" w:hAnsi="仿宋" w:eastAsia="仿宋"/>
          <w:color w:val="auto"/>
          <w:sz w:val="24"/>
          <w:highlight w:val="none"/>
          <w:u w:val="thick"/>
          <w:lang w:val="en-US" w:eastAsia="zh-CN"/>
        </w:rPr>
        <w:t>田园文苑</w:t>
      </w:r>
      <w:r>
        <w:rPr>
          <w:rFonts w:hint="eastAsia" w:ascii="仿宋" w:hAnsi="仿宋" w:eastAsia="仿宋"/>
          <w:color w:val="auto"/>
          <w:sz w:val="24"/>
          <w:highlight w:val="none"/>
          <w:u w:val="thick"/>
        </w:rPr>
        <w:t>】</w:t>
      </w:r>
      <w:r>
        <w:rPr>
          <w:rFonts w:hint="eastAsia" w:ascii="仿宋" w:hAnsi="仿宋" w:eastAsia="仿宋"/>
          <w:color w:val="auto"/>
          <w:sz w:val="24"/>
          <w:highlight w:val="none"/>
        </w:rPr>
        <w:t>项目（以下简称“该项目”）提供销售渠道服务事宜，达成本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，以资共同遵守。</w:t>
      </w:r>
    </w:p>
    <w:p w14:paraId="263E4CED">
      <w:pPr>
        <w:adjustRightInd w:val="0"/>
        <w:snapToGrid w:val="0"/>
        <w:ind w:firstLine="482" w:firstLineChars="200"/>
        <w:rPr>
          <w:rFonts w:ascii="仿宋" w:hAnsi="仿宋" w:eastAsia="仿宋"/>
          <w:b/>
          <w:color w:val="auto"/>
          <w:sz w:val="24"/>
          <w:highlight w:val="none"/>
        </w:rPr>
      </w:pPr>
    </w:p>
    <w:p w14:paraId="734B9DED">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第一条双方声明</w:t>
      </w:r>
    </w:p>
    <w:p w14:paraId="1BE27597">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双方声明：</w:t>
      </w:r>
    </w:p>
    <w:p w14:paraId="54A83FF8">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1.甲、乙双方声明：在中国正式成立和登记的法人，有依其章程规定、在其企业法人营业执照规定的经营范围内行事的法律能力。</w:t>
      </w:r>
    </w:p>
    <w:p w14:paraId="1B2781C7">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2.甲、乙双方保证：有签署和执行本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一切条款的权利和权力。</w:t>
      </w:r>
    </w:p>
    <w:p w14:paraId="31705FEA">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3.甲方保证：对本项目拥有合法的销售权利及销售所需相关法律文件</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甲方应向乙方披露本项目下房屋产权状况等，保证项目能够进行销售</w:t>
      </w:r>
      <w:r>
        <w:rPr>
          <w:rFonts w:hint="eastAsia" w:ascii="仿宋" w:hAnsi="仿宋" w:eastAsia="仿宋"/>
          <w:color w:val="auto"/>
          <w:sz w:val="24"/>
          <w:highlight w:val="none"/>
        </w:rPr>
        <w:t>。</w:t>
      </w:r>
    </w:p>
    <w:p w14:paraId="4F8C7040">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4.甲方承诺：乙方享有与甲方及其他为该项目提供渠道服务</w:t>
      </w:r>
      <w:r>
        <w:rPr>
          <w:rFonts w:hint="eastAsia" w:ascii="仿宋" w:hAnsi="仿宋" w:eastAsia="仿宋"/>
          <w:color w:val="auto"/>
          <w:sz w:val="24"/>
          <w:highlight w:val="none"/>
          <w:lang w:val="en-US" w:eastAsia="zh-CN"/>
        </w:rPr>
        <w:t>的</w:t>
      </w:r>
      <w:r>
        <w:rPr>
          <w:rFonts w:hint="eastAsia" w:ascii="仿宋" w:hAnsi="仿宋" w:eastAsia="仿宋"/>
          <w:color w:val="auto"/>
          <w:sz w:val="24"/>
          <w:highlight w:val="none"/>
        </w:rPr>
        <w:t>机构平等的权利，包括但不限于客户保护期、客户所能享受购房折扣或优惠等。甲方同意乙方可以转委托第三方为该项目提供</w:t>
      </w:r>
      <w:r>
        <w:rPr>
          <w:rFonts w:hint="eastAsia" w:ascii="仿宋" w:hAnsi="仿宋" w:eastAsia="仿宋"/>
          <w:color w:val="auto"/>
          <w:sz w:val="24"/>
          <w:highlight w:val="none"/>
          <w:lang w:val="en-US" w:eastAsia="zh-CN"/>
        </w:rPr>
        <w:t>渠道</w:t>
      </w:r>
      <w:r>
        <w:rPr>
          <w:rFonts w:hint="eastAsia" w:ascii="仿宋" w:hAnsi="仿宋" w:eastAsia="仿宋"/>
          <w:color w:val="auto"/>
          <w:sz w:val="24"/>
          <w:highlight w:val="none"/>
        </w:rPr>
        <w:t>服务。</w:t>
      </w:r>
    </w:p>
    <w:p w14:paraId="6B49FC19">
      <w:pPr>
        <w:adjustRightInd w:val="0"/>
        <w:snapToGrid w:val="0"/>
        <w:ind w:firstLine="482" w:firstLineChars="200"/>
        <w:rPr>
          <w:rFonts w:ascii="仿宋" w:hAnsi="仿宋" w:eastAsia="仿宋"/>
          <w:b/>
          <w:color w:val="auto"/>
          <w:sz w:val="24"/>
          <w:highlight w:val="none"/>
        </w:rPr>
      </w:pPr>
    </w:p>
    <w:p w14:paraId="0FCD27E0">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第二条项目基本情况</w:t>
      </w:r>
    </w:p>
    <w:p w14:paraId="27A927CA">
      <w:pPr>
        <w:adjustRightInd w:val="0"/>
        <w:snapToGrid w:val="0"/>
        <w:ind w:firstLine="480" w:firstLineChars="200"/>
        <w:rPr>
          <w:rFonts w:ascii="仿宋" w:hAnsi="仿宋" w:eastAsia="仿宋"/>
          <w:b/>
          <w:color w:val="auto"/>
          <w:sz w:val="24"/>
          <w:highlight w:val="none"/>
        </w:rPr>
      </w:pPr>
      <w:r>
        <w:rPr>
          <w:rFonts w:hint="eastAsia" w:ascii="仿宋" w:hAnsi="仿宋" w:eastAsia="仿宋"/>
          <w:color w:val="auto"/>
          <w:sz w:val="24"/>
          <w:highlight w:val="none"/>
        </w:rPr>
        <w:t>1．项目推广名称：</w:t>
      </w:r>
      <w:r>
        <w:rPr>
          <w:rFonts w:hint="eastAsia" w:ascii="仿宋" w:hAnsi="仿宋" w:eastAsia="仿宋"/>
          <w:color w:val="auto"/>
          <w:sz w:val="24"/>
          <w:highlight w:val="none"/>
          <w:u w:val="single"/>
        </w:rPr>
        <w:t>【璀璨星辰】</w:t>
      </w:r>
      <w:r>
        <w:rPr>
          <w:rFonts w:hint="eastAsia" w:ascii="仿宋" w:hAnsi="仿宋" w:eastAsia="仿宋"/>
          <w:color w:val="auto"/>
          <w:sz w:val="24"/>
          <w:highlight w:val="none"/>
        </w:rPr>
        <w:t>（项目备案名称：</w:t>
      </w:r>
      <w:r>
        <w:rPr>
          <w:rFonts w:hint="eastAsia" w:ascii="仿宋" w:hAnsi="仿宋" w:eastAsia="仿宋"/>
          <w:color w:val="auto"/>
          <w:sz w:val="24"/>
          <w:highlight w:val="none"/>
          <w:u w:val="single"/>
        </w:rPr>
        <w:t>【田园文苑】</w:t>
      </w:r>
      <w:r>
        <w:rPr>
          <w:rFonts w:hint="eastAsia" w:ascii="仿宋" w:hAnsi="仿宋" w:eastAsia="仿宋" w:cs="宋体"/>
          <w:color w:val="auto"/>
          <w:kern w:val="0"/>
          <w:sz w:val="24"/>
          <w:highlight w:val="none"/>
        </w:rPr>
        <w:t>）；</w:t>
      </w:r>
    </w:p>
    <w:p w14:paraId="1AA3F611">
      <w:pPr>
        <w:adjustRightInd w:val="0"/>
        <w:snapToGrid w:val="0"/>
        <w:ind w:firstLine="480" w:firstLineChars="200"/>
        <w:rPr>
          <w:rFonts w:ascii="仿宋" w:hAnsi="仿宋" w:eastAsia="仿宋"/>
          <w:color w:val="auto"/>
          <w:sz w:val="24"/>
          <w:highlight w:val="none"/>
          <w:u w:val="single"/>
        </w:rPr>
      </w:pPr>
      <w:r>
        <w:rPr>
          <w:rFonts w:hint="eastAsia" w:ascii="仿宋" w:hAnsi="仿宋" w:eastAsia="仿宋"/>
          <w:color w:val="auto"/>
          <w:sz w:val="24"/>
          <w:highlight w:val="none"/>
        </w:rPr>
        <w:t>2. 项目位置：</w:t>
      </w:r>
      <w:r>
        <w:rPr>
          <w:rFonts w:hint="eastAsia" w:ascii="仿宋" w:hAnsi="仿宋" w:eastAsia="仿宋"/>
          <w:color w:val="auto"/>
          <w:sz w:val="24"/>
          <w:highlight w:val="none"/>
          <w:u w:val="single"/>
        </w:rPr>
        <w:t xml:space="preserve">璀璨星辰乌市高新区湖州路536号田园文苑商住小区&amp;乌市新市区北京中路256号元盛祥府商住小区                </w:t>
      </w:r>
      <w:r>
        <w:rPr>
          <w:rFonts w:hint="eastAsia" w:ascii="仿宋" w:hAnsi="仿宋" w:eastAsia="仿宋"/>
          <w:color w:val="auto"/>
          <w:sz w:val="24"/>
          <w:highlight w:val="none"/>
        </w:rPr>
        <w:t>；</w:t>
      </w:r>
    </w:p>
    <w:p w14:paraId="34E9DFA2">
      <w:pPr>
        <w:adjustRightInd w:val="0"/>
        <w:snapToGrid w:val="0"/>
        <w:ind w:left="479" w:leftChars="228"/>
        <w:rPr>
          <w:rFonts w:hint="eastAsia" w:ascii="仿宋" w:hAnsi="仿宋" w:eastAsia="仿宋"/>
          <w:color w:val="auto"/>
          <w:sz w:val="24"/>
          <w:highlight w:val="none"/>
          <w:u w:val="single"/>
          <w:shd w:val="clear" w:color="auto" w:fill="auto"/>
        </w:rPr>
      </w:pPr>
      <w:r>
        <w:rPr>
          <w:rFonts w:hint="eastAsia" w:ascii="仿宋" w:hAnsi="仿宋" w:eastAsia="仿宋"/>
          <w:color w:val="auto"/>
          <w:sz w:val="24"/>
          <w:highlight w:val="none"/>
        </w:rPr>
        <w:t>3．产品类型：</w:t>
      </w:r>
      <w:r>
        <w:rPr>
          <w:rFonts w:hint="eastAsia" w:ascii="仿宋" w:hAnsi="仿宋" w:eastAsia="仿宋"/>
          <w:color w:val="auto"/>
          <w:sz w:val="24"/>
          <w:highlight w:val="none"/>
          <w:u w:val="single"/>
        </w:rPr>
        <w:t>住宅/商业/</w:t>
      </w:r>
      <w:r>
        <w:rPr>
          <w:rFonts w:hint="eastAsia" w:ascii="仿宋" w:hAnsi="仿宋" w:eastAsia="仿宋"/>
          <w:color w:val="auto"/>
          <w:sz w:val="24"/>
          <w:highlight w:val="none"/>
          <w:u w:val="single"/>
        </w:rPr>
        <w:cr/>
      </w:r>
      <w:r>
        <w:rPr>
          <w:rFonts w:hint="eastAsia" w:ascii="仿宋" w:hAnsi="仿宋" w:eastAsia="仿宋"/>
          <w:color w:val="auto"/>
          <w:sz w:val="24"/>
          <w:highlight w:val="none"/>
        </w:rPr>
        <w:t>4．</w:t>
      </w:r>
      <w:r>
        <w:rPr>
          <w:rFonts w:hint="eastAsia" w:ascii="仿宋" w:hAnsi="仿宋" w:eastAsia="仿宋"/>
          <w:color w:val="auto"/>
          <w:sz w:val="24"/>
          <w:highlight w:val="none"/>
          <w:u w:val="single"/>
          <w:shd w:val="clear" w:color="auto" w:fill="auto"/>
        </w:rPr>
        <w:t>销售范围：仅限本合同附件四《授权销售房源清单》所列房源，甲方有权动态调整并书面通知乙方”，补充附件四</w:t>
      </w:r>
    </w:p>
    <w:p w14:paraId="5FC72EAE">
      <w:pPr>
        <w:adjustRightInd w:val="0"/>
        <w:snapToGrid w:val="0"/>
        <w:ind w:firstLine="482" w:firstLineChars="200"/>
        <w:rPr>
          <w:rFonts w:ascii="仿宋" w:hAnsi="仿宋" w:eastAsia="仿宋"/>
          <w:b/>
          <w:color w:val="auto"/>
          <w:sz w:val="24"/>
          <w:highlight w:val="yellow"/>
          <w:shd w:val="clear" w:color="FFFFFF" w:fill="D9D9D9"/>
        </w:rPr>
      </w:pPr>
    </w:p>
    <w:p w14:paraId="05FBF312">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第三条服务内容及服务期限</w:t>
      </w:r>
    </w:p>
    <w:p w14:paraId="22CC1BD2">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1.服务内容</w:t>
      </w:r>
    </w:p>
    <w:p w14:paraId="16180F11">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双方确认，在本合同履行期间内，该项目房屋成功销售前，乙方应根据甲方要求完成如下工作：</w:t>
      </w:r>
    </w:p>
    <w:p w14:paraId="1A79DA2D">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1</w:t>
      </w:r>
      <w:r>
        <w:rPr>
          <w:rFonts w:hint="eastAsia" w:ascii="仿宋" w:hAnsi="仿宋" w:eastAsia="仿宋"/>
          <w:color w:val="auto"/>
          <w:sz w:val="24"/>
          <w:highlight w:val="none"/>
        </w:rPr>
        <w:t>）充分利用自身资源开发意向客户，向甲方完成客户资源导入；</w:t>
      </w:r>
    </w:p>
    <w:p w14:paraId="23DCDEB8">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2</w:t>
      </w:r>
      <w:r>
        <w:rPr>
          <w:rFonts w:hint="eastAsia" w:ascii="仿宋" w:hAnsi="仿宋" w:eastAsia="仿宋"/>
          <w:color w:val="auto"/>
          <w:sz w:val="24"/>
          <w:highlight w:val="none"/>
        </w:rPr>
        <w:t>）根据甲方提供的项目资料进行项目宣传、推广；</w:t>
      </w:r>
    </w:p>
    <w:p w14:paraId="062B3278">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3</w:t>
      </w:r>
      <w:r>
        <w:rPr>
          <w:rFonts w:hint="eastAsia" w:ascii="仿宋" w:hAnsi="仿宋" w:eastAsia="仿宋"/>
          <w:color w:val="auto"/>
          <w:sz w:val="24"/>
          <w:highlight w:val="none"/>
        </w:rPr>
        <w:t>）根据甲方要求进行或配合甲方与推荐客户进行谈判、商品房买卖合同签约；</w:t>
      </w:r>
    </w:p>
    <w:p w14:paraId="19C1945A">
      <w:pPr>
        <w:adjustRightInd w:val="0"/>
        <w:snapToGrid w:val="0"/>
        <w:ind w:left="479" w:leftChars="228"/>
        <w:rPr>
          <w:rFonts w:hint="eastAsia" w:ascii="仿宋" w:hAnsi="仿宋" w:eastAsia="仿宋"/>
          <w:color w:val="auto"/>
          <w:sz w:val="24"/>
          <w:highlight w:val="none"/>
          <w:lang w:eastAsia="zh-CN"/>
        </w:rPr>
      </w:pPr>
      <w:r>
        <w:rPr>
          <w:rFonts w:hint="eastAsia" w:ascii="仿宋" w:hAnsi="仿宋" w:eastAsia="仿宋"/>
          <w:color w:val="auto"/>
          <w:sz w:val="24"/>
          <w:highlight w:val="none"/>
        </w:rPr>
        <w:t>（4）执行甲方要求的与该项目房屋销售有关的其他工作。</w:t>
      </w:r>
    </w:p>
    <w:p w14:paraId="03694FBB">
      <w:pPr>
        <w:adjustRightInd w:val="0"/>
        <w:snapToGrid w:val="0"/>
        <w:ind w:left="479" w:leftChars="228"/>
        <w:rPr>
          <w:rFonts w:ascii="仿宋" w:hAnsi="仿宋" w:eastAsia="仿宋"/>
          <w:color w:val="auto"/>
          <w:sz w:val="24"/>
          <w:highlight w:val="none"/>
        </w:rPr>
      </w:pPr>
      <w:r>
        <w:rPr>
          <w:rFonts w:hint="eastAsia" w:ascii="仿宋" w:hAnsi="仿宋" w:eastAsia="仿宋"/>
          <w:color w:val="auto"/>
          <w:sz w:val="24"/>
          <w:highlight w:val="none"/>
        </w:rPr>
        <w:t>（5）甲方同意乙方可以授权其他机构与乙方一同开展销售工作。</w:t>
      </w:r>
    </w:p>
    <w:p w14:paraId="3908E2AA">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2.合同期限</w:t>
      </w:r>
    </w:p>
    <w:p w14:paraId="6261831E">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委托服务期限：自202</w:t>
      </w:r>
      <w:r>
        <w:rPr>
          <w:rFonts w:hint="eastAsia" w:ascii="仿宋" w:hAnsi="仿宋" w:eastAsia="仿宋"/>
          <w:color w:val="auto"/>
          <w:sz w:val="24"/>
          <w:highlight w:val="none"/>
          <w:lang w:val="en-US" w:eastAsia="zh-CN"/>
        </w:rPr>
        <w:t>5</w:t>
      </w:r>
      <w:r>
        <w:rPr>
          <w:rFonts w:hint="eastAsia" w:ascii="仿宋" w:hAnsi="仿宋" w:eastAsia="仿宋"/>
          <w:color w:val="auto"/>
          <w:sz w:val="24"/>
          <w:highlight w:val="none"/>
        </w:rPr>
        <w:t>年</w:t>
      </w:r>
      <w:r>
        <w:rPr>
          <w:rFonts w:hint="eastAsia" w:ascii="仿宋" w:hAnsi="仿宋" w:eastAsia="仿宋"/>
          <w:color w:val="auto"/>
          <w:sz w:val="24"/>
          <w:highlight w:val="none"/>
          <w:u w:val="single"/>
          <w:lang w:val="en-US" w:eastAsia="zh-CN"/>
        </w:rPr>
        <w:t>08</w:t>
      </w:r>
      <w:r>
        <w:rPr>
          <w:rFonts w:hint="eastAsia" w:ascii="仿宋" w:hAnsi="仿宋" w:eastAsia="仿宋"/>
          <w:color w:val="auto"/>
          <w:sz w:val="24"/>
          <w:highlight w:val="none"/>
        </w:rPr>
        <w:t>月</w:t>
      </w:r>
      <w:r>
        <w:rPr>
          <w:rFonts w:hint="eastAsia" w:ascii="仿宋" w:hAnsi="仿宋" w:eastAsia="仿宋"/>
          <w:color w:val="auto"/>
          <w:sz w:val="24"/>
          <w:highlight w:val="none"/>
          <w:u w:val="single"/>
          <w:lang w:val="en-US" w:eastAsia="zh-CN"/>
        </w:rPr>
        <w:t>10</w:t>
      </w:r>
      <w:r>
        <w:rPr>
          <w:rFonts w:hint="eastAsia" w:ascii="仿宋" w:hAnsi="仿宋" w:eastAsia="仿宋"/>
          <w:color w:val="auto"/>
          <w:sz w:val="24"/>
          <w:highlight w:val="none"/>
        </w:rPr>
        <w:t>日至202</w:t>
      </w:r>
      <w:r>
        <w:rPr>
          <w:rFonts w:hint="eastAsia" w:ascii="仿宋" w:hAnsi="仿宋" w:eastAsia="仿宋"/>
          <w:color w:val="auto"/>
          <w:sz w:val="24"/>
          <w:highlight w:val="none"/>
          <w:lang w:val="en-US" w:eastAsia="zh-CN"/>
        </w:rPr>
        <w:t>5</w:t>
      </w:r>
      <w:r>
        <w:rPr>
          <w:rFonts w:hint="eastAsia" w:ascii="仿宋" w:hAnsi="仿宋" w:eastAsia="仿宋"/>
          <w:color w:val="auto"/>
          <w:sz w:val="24"/>
          <w:highlight w:val="none"/>
        </w:rPr>
        <w:t>年</w:t>
      </w:r>
      <w:r>
        <w:rPr>
          <w:rFonts w:hint="eastAsia" w:ascii="仿宋" w:hAnsi="仿宋" w:eastAsia="仿宋"/>
          <w:color w:val="auto"/>
          <w:sz w:val="24"/>
          <w:highlight w:val="none"/>
          <w:u w:val="single"/>
          <w:lang w:val="en-US" w:eastAsia="zh-CN"/>
        </w:rPr>
        <w:t>12</w:t>
      </w:r>
      <w:r>
        <w:rPr>
          <w:rFonts w:hint="eastAsia" w:ascii="仿宋" w:hAnsi="仿宋" w:eastAsia="仿宋"/>
          <w:color w:val="auto"/>
          <w:sz w:val="24"/>
          <w:highlight w:val="none"/>
        </w:rPr>
        <w:t>月</w:t>
      </w:r>
      <w:r>
        <w:rPr>
          <w:rFonts w:hint="eastAsia" w:ascii="仿宋" w:hAnsi="仿宋" w:eastAsia="仿宋"/>
          <w:color w:val="auto"/>
          <w:sz w:val="24"/>
          <w:highlight w:val="none"/>
          <w:u w:val="single"/>
          <w:lang w:val="en-US" w:eastAsia="zh-CN"/>
        </w:rPr>
        <w:t>31</w:t>
      </w:r>
      <w:r>
        <w:rPr>
          <w:rFonts w:hint="eastAsia" w:ascii="仿宋" w:hAnsi="仿宋" w:eastAsia="仿宋"/>
          <w:color w:val="auto"/>
          <w:sz w:val="24"/>
          <w:highlight w:val="none"/>
        </w:rPr>
        <w:t>日止（均含当日）。</w:t>
      </w:r>
    </w:p>
    <w:p w14:paraId="37BFC8CE">
      <w:pPr>
        <w:adjustRightInd w:val="0"/>
        <w:snapToGrid w:val="0"/>
        <w:rPr>
          <w:rFonts w:ascii="仿宋" w:hAnsi="仿宋" w:eastAsia="仿宋"/>
          <w:color w:val="auto"/>
          <w:sz w:val="24"/>
          <w:highlight w:val="none"/>
        </w:rPr>
      </w:pPr>
    </w:p>
    <w:p w14:paraId="30AB1A96">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第四条销售价格</w:t>
      </w:r>
    </w:p>
    <w:p w14:paraId="1F4515D7">
      <w:pPr>
        <w:adjustRightInd w:val="0"/>
        <w:snapToGrid w:val="0"/>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甲方向乙方提供乙方向推荐客户介绍项目所需要的报价、参数等信息，乙方发布相关信息前，</w:t>
      </w:r>
      <w:r>
        <w:rPr>
          <w:rFonts w:hint="eastAsia" w:ascii="仿宋" w:hAnsi="仿宋" w:eastAsia="仿宋"/>
          <w:color w:val="auto"/>
          <w:sz w:val="24"/>
          <w:szCs w:val="28"/>
          <w:highlight w:val="none"/>
        </w:rPr>
        <w:t>须经甲方指定人员确认方可发布</w:t>
      </w:r>
      <w:r>
        <w:rPr>
          <w:rFonts w:hint="eastAsia" w:ascii="仿宋" w:hAnsi="仿宋" w:eastAsia="仿宋"/>
          <w:color w:val="auto"/>
          <w:sz w:val="24"/>
          <w:highlight w:val="none"/>
        </w:rPr>
        <w:t>；项目具体信息由销售人员向推荐客户介绍讲解，非经甲方书面同意，乙方不得擅自给予推荐客户任何形式的折扣及优惠承诺。</w:t>
      </w:r>
    </w:p>
    <w:p w14:paraId="0A654EB9">
      <w:pPr>
        <w:adjustRightInd w:val="0"/>
        <w:snapToGrid w:val="0"/>
        <w:ind w:firstLine="480" w:firstLineChars="200"/>
        <w:rPr>
          <w:rFonts w:ascii="仿宋" w:hAnsi="仿宋" w:eastAsia="仿宋"/>
          <w:b/>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该项目房屋销售价格以甲方与推荐客户签署的商品房买卖合同上所载价格为准，但不得高于政府备案价。</w:t>
      </w:r>
    </w:p>
    <w:p w14:paraId="008D62BE">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3.甲方若变更正在执行的价格或者销售政策，甲方应在新价格或者政策执行日的前【5】个工作日书面告知乙方同步客户，乙方在收到书面通知后应予执行。</w:t>
      </w:r>
    </w:p>
    <w:p w14:paraId="1BCE64EB">
      <w:pPr>
        <w:adjustRightInd w:val="0"/>
        <w:snapToGrid w:val="0"/>
        <w:ind w:firstLine="480" w:firstLineChars="200"/>
        <w:rPr>
          <w:rFonts w:hint="eastAsia" w:ascii="仿宋" w:hAnsi="仿宋" w:eastAsia="仿宋"/>
          <w:color w:val="FF0000"/>
          <w:sz w:val="24"/>
          <w:highlight w:val="none"/>
        </w:rPr>
      </w:pPr>
      <w:r>
        <w:rPr>
          <w:rFonts w:hint="eastAsia" w:ascii="仿宋" w:hAnsi="仿宋" w:eastAsia="仿宋"/>
          <w:color w:val="auto"/>
          <w:sz w:val="24"/>
          <w:highlight w:val="none"/>
          <w:lang w:val="en-US" w:eastAsia="zh-CN"/>
        </w:rPr>
        <w:t>4.</w:t>
      </w:r>
      <w:r>
        <w:rPr>
          <w:rFonts w:hint="eastAsia" w:ascii="仿宋" w:hAnsi="仿宋" w:eastAsia="仿宋"/>
          <w:color w:val="auto"/>
          <w:sz w:val="24"/>
          <w:highlight w:val="none"/>
        </w:rPr>
        <w:t>乙方促成的交易价格不得低于甲方书面确认的最低销售价（见附件五）；如低于最低价，需经甲方书面同意，否则甲方有权扣减对应佣金的 30% 作为补偿。</w:t>
      </w:r>
    </w:p>
    <w:p w14:paraId="5F5AE6D5">
      <w:pPr>
        <w:adjustRightInd w:val="0"/>
        <w:snapToGrid w:val="0"/>
        <w:ind w:firstLine="482" w:firstLineChars="200"/>
        <w:rPr>
          <w:rFonts w:ascii="仿宋" w:hAnsi="仿宋" w:eastAsia="仿宋"/>
          <w:b/>
          <w:color w:val="FF0000"/>
          <w:sz w:val="24"/>
          <w:highlight w:val="none"/>
        </w:rPr>
      </w:pPr>
    </w:p>
    <w:p w14:paraId="7C320200">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第五条推荐客户确认制度</w:t>
      </w:r>
    </w:p>
    <w:p w14:paraId="1646119E">
      <w:pPr>
        <w:numPr>
          <w:ilvl w:val="-1"/>
          <w:numId w:val="0"/>
        </w:numPr>
        <w:adjustRightInd w:val="0"/>
        <w:snapToGrid w:val="0"/>
        <w:ind w:firstLine="480" w:firstLineChars="200"/>
        <w:rPr>
          <w:rFonts w:ascii="仿宋" w:hAnsi="仿宋" w:eastAsia="仿宋"/>
          <w:color w:val="auto"/>
          <w:sz w:val="24"/>
          <w:highlight w:val="none"/>
        </w:rPr>
      </w:pPr>
      <w:r>
        <w:rPr>
          <w:rFonts w:hint="default" w:ascii="仿宋" w:hAnsi="仿宋" w:eastAsia="仿宋"/>
          <w:color w:val="auto"/>
          <w:sz w:val="24"/>
          <w:highlight w:val="none"/>
        </w:rPr>
        <w:t>1</w:t>
      </w:r>
      <w:r>
        <w:rPr>
          <w:rFonts w:hint="eastAsia" w:ascii="仿宋" w:hAnsi="仿宋" w:eastAsia="仿宋"/>
          <w:color w:val="auto"/>
          <w:sz w:val="24"/>
          <w:highlight w:val="none"/>
          <w:lang w:val="en-US" w:eastAsia="zh-Hans"/>
        </w:rPr>
        <w:t>.</w:t>
      </w:r>
      <w:r>
        <w:rPr>
          <w:rFonts w:hint="eastAsia" w:ascii="仿宋" w:hAnsi="仿宋" w:eastAsia="仿宋"/>
          <w:color w:val="auto"/>
          <w:sz w:val="24"/>
          <w:highlight w:val="none"/>
        </w:rPr>
        <w:t>乙方带领推荐客户参观项目前须先向甲方进行客户身份确认。报备推荐客户，将推荐客户的信息发到甲乙双方共同建立的微信群</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根据甲乙交易具体情况进行修改）</w:t>
      </w:r>
      <w:r>
        <w:rPr>
          <w:rFonts w:hint="eastAsia" w:ascii="仿宋" w:hAnsi="仿宋" w:eastAsia="仿宋"/>
          <w:color w:val="auto"/>
          <w:sz w:val="24"/>
          <w:highlight w:val="none"/>
        </w:rPr>
        <w:t>，由甲方统一对推荐客户进行客户登记和接待分配。</w:t>
      </w:r>
      <w:r>
        <w:rPr>
          <w:rFonts w:ascii="仿宋" w:hAnsi="仿宋" w:eastAsia="仿宋"/>
          <w:color w:val="auto"/>
          <w:sz w:val="24"/>
          <w:highlight w:val="none"/>
        </w:rPr>
        <w:t>甲方应在报备后 30</w:t>
      </w:r>
      <w:r>
        <w:rPr>
          <w:rFonts w:hint="eastAsia" w:ascii="仿宋" w:hAnsi="仿宋" w:eastAsia="仿宋"/>
          <w:color w:val="auto"/>
          <w:sz w:val="24"/>
          <w:highlight w:val="none"/>
        </w:rPr>
        <w:t>分钟</w:t>
      </w:r>
      <w:r>
        <w:rPr>
          <w:rFonts w:ascii="仿宋" w:hAnsi="仿宋" w:eastAsia="仿宋"/>
          <w:color w:val="auto"/>
          <w:sz w:val="24"/>
          <w:highlight w:val="none"/>
        </w:rPr>
        <w:t>内进行反馈，如未反馈，视为甲方默认乙方客户有效。</w:t>
      </w:r>
      <w:r>
        <w:rPr>
          <w:rFonts w:hint="eastAsia" w:ascii="仿宋" w:hAnsi="仿宋" w:eastAsia="仿宋"/>
          <w:color w:val="auto"/>
          <w:sz w:val="24"/>
          <w:highlight w:val="none"/>
        </w:rPr>
        <w:t>客户到现场，当日甲乙双方签署</w:t>
      </w:r>
      <w:r>
        <w:rPr>
          <w:rFonts w:hint="eastAsia" w:ascii="仿宋" w:hAnsi="仿宋" w:eastAsia="仿宋"/>
          <w:color w:val="auto"/>
          <w:sz w:val="24"/>
          <w:szCs w:val="28"/>
          <w:highlight w:val="none"/>
        </w:rPr>
        <w:t>《</w:t>
      </w:r>
      <w:r>
        <w:rPr>
          <w:rFonts w:ascii="仿宋" w:hAnsi="仿宋" w:eastAsia="仿宋"/>
          <w:color w:val="auto"/>
          <w:sz w:val="24"/>
          <w:szCs w:val="28"/>
          <w:highlight w:val="none"/>
        </w:rPr>
        <w:t>项目客户确认单</w:t>
      </w:r>
      <w:r>
        <w:rPr>
          <w:rFonts w:hint="eastAsia" w:ascii="仿宋" w:hAnsi="仿宋" w:eastAsia="仿宋"/>
          <w:color w:val="auto"/>
          <w:sz w:val="24"/>
          <w:szCs w:val="28"/>
          <w:highlight w:val="none"/>
        </w:rPr>
        <w:t>》（模板见附件一）</w:t>
      </w:r>
      <w:r>
        <w:rPr>
          <w:rFonts w:hint="eastAsia" w:ascii="仿宋" w:hAnsi="仿宋" w:eastAsia="仿宋"/>
          <w:color w:val="auto"/>
          <w:sz w:val="24"/>
          <w:highlight w:val="none"/>
        </w:rPr>
        <w:t>，以便于双方核对、确</w:t>
      </w:r>
      <w:r>
        <w:rPr>
          <w:rFonts w:hint="eastAsia" w:ascii="仿宋" w:hAnsi="仿宋" w:eastAsia="仿宋"/>
          <w:color w:val="auto"/>
          <w:sz w:val="24"/>
          <w:highlight w:val="none"/>
          <w:lang w:val="en-US" w:eastAsia="zh-Hans"/>
        </w:rPr>
        <w:t>认</w:t>
      </w:r>
      <w:r>
        <w:rPr>
          <w:rFonts w:hint="eastAsia" w:ascii="仿宋" w:hAnsi="仿宋" w:eastAsia="仿宋"/>
          <w:color w:val="auto"/>
          <w:sz w:val="24"/>
          <w:highlight w:val="none"/>
          <w:lang w:val="en-US" w:eastAsia="zh-CN"/>
        </w:rPr>
        <w:t>，如因客观原因无法签署《项目客户确认单》的情形，不影响乙方推荐客户确认</w:t>
      </w:r>
      <w:r>
        <w:rPr>
          <w:rFonts w:hint="eastAsia" w:ascii="仿宋" w:hAnsi="仿宋" w:eastAsia="仿宋"/>
          <w:color w:val="auto"/>
          <w:sz w:val="24"/>
          <w:highlight w:val="none"/>
        </w:rPr>
        <w:t>。乙方在报备时需提供客户电话号码首三位数和最后四位数，号码中间四位数由乙方自行保留，示例：139XXXX8888）。</w:t>
      </w:r>
    </w:p>
    <w:p w14:paraId="1AECFF59">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2</w:t>
      </w:r>
      <w:r>
        <w:rPr>
          <w:rFonts w:ascii="仿宋" w:hAnsi="仿宋" w:eastAsia="仿宋"/>
          <w:color w:val="auto"/>
          <w:sz w:val="24"/>
          <w:highlight w:val="none"/>
        </w:rPr>
        <w:t>.</w:t>
      </w:r>
      <w:r>
        <w:rPr>
          <w:rFonts w:hint="eastAsia" w:ascii="仿宋" w:hAnsi="仿宋" w:eastAsia="仿宋"/>
          <w:color w:val="auto"/>
          <w:sz w:val="24"/>
          <w:highlight w:val="none"/>
        </w:rPr>
        <w:t>乙方客户报备保护期为【</w:t>
      </w:r>
      <w:r>
        <w:rPr>
          <w:rFonts w:hint="eastAsia" w:ascii="仿宋" w:hAnsi="仿宋" w:eastAsia="仿宋"/>
          <w:color w:val="auto"/>
          <w:sz w:val="24"/>
          <w:highlight w:val="none"/>
          <w:lang w:eastAsia="zh-CN"/>
        </w:rPr>
        <w:t>5</w:t>
      </w:r>
      <w:r>
        <w:rPr>
          <w:rFonts w:hint="eastAsia" w:ascii="仿宋" w:hAnsi="仿宋" w:eastAsia="仿宋"/>
          <w:color w:val="auto"/>
          <w:sz w:val="24"/>
          <w:highlight w:val="none"/>
        </w:rPr>
        <w:t>】日，从报备次日开始计算保护期。如果没有及时到访，乙方可在期满前重新报备并不限次数。</w:t>
      </w:r>
    </w:p>
    <w:p w14:paraId="09B38A23">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3.推荐客户保护期为自客户最后一次到访之日起的【</w:t>
      </w:r>
      <w:r>
        <w:rPr>
          <w:rFonts w:hint="eastAsia" w:ascii="仿宋" w:hAnsi="仿宋" w:eastAsia="仿宋"/>
          <w:color w:val="auto"/>
          <w:sz w:val="24"/>
          <w:highlight w:val="none"/>
          <w:lang w:val="en-US" w:eastAsia="zh-CN"/>
        </w:rPr>
        <w:t>60</w:t>
      </w:r>
      <w:r>
        <w:rPr>
          <w:rFonts w:hint="eastAsia" w:ascii="仿宋" w:hAnsi="仿宋" w:eastAsia="仿宋"/>
          <w:color w:val="auto"/>
          <w:sz w:val="24"/>
          <w:highlight w:val="none"/>
        </w:rPr>
        <w:t>】日。</w:t>
      </w:r>
      <w:r>
        <w:rPr>
          <w:rFonts w:hint="eastAsia" w:ascii="仿宋" w:hAnsi="仿宋" w:eastAsia="仿宋"/>
          <w:color w:val="auto"/>
          <w:sz w:val="24"/>
          <w:szCs w:val="28"/>
          <w:highlight w:val="none"/>
        </w:rPr>
        <w:t>在客户保护期内的，</w:t>
      </w:r>
      <w:r>
        <w:rPr>
          <w:rFonts w:hint="eastAsia" w:ascii="仿宋" w:hAnsi="仿宋" w:eastAsia="仿宋"/>
          <w:color w:val="auto"/>
          <w:sz w:val="24"/>
          <w:highlight w:val="none"/>
        </w:rPr>
        <w:t>甲方不得再行确认该客户为其他销售方的客户。如客户在客户保护期内有重复到访，</w:t>
      </w:r>
      <w:r>
        <w:rPr>
          <w:rFonts w:hint="eastAsia" w:ascii="仿宋" w:hAnsi="仿宋" w:eastAsia="仿宋"/>
          <w:color w:val="auto"/>
          <w:sz w:val="24"/>
          <w:highlight w:val="none"/>
          <w:lang w:val="en-US" w:eastAsia="zh-CN"/>
        </w:rPr>
        <w:t>保护</w:t>
      </w:r>
      <w:r>
        <w:rPr>
          <w:rFonts w:hint="eastAsia" w:ascii="仿宋" w:hAnsi="仿宋" w:eastAsia="仿宋"/>
          <w:color w:val="auto"/>
          <w:sz w:val="24"/>
          <w:highlight w:val="none"/>
        </w:rPr>
        <w:t>有效期的起始日更改为客户最后一次到访项目之日。</w:t>
      </w:r>
    </w:p>
    <w:p w14:paraId="5C27BAE3">
      <w:pPr>
        <w:adjustRightInd w:val="0"/>
        <w:snapToGrid w:val="0"/>
        <w:ind w:firstLine="480" w:firstLineChars="200"/>
        <w:rPr>
          <w:rFonts w:hint="default" w:ascii="仿宋" w:hAnsi="仿宋" w:eastAsia="仿宋"/>
          <w:b/>
          <w:bCs/>
          <w:color w:val="auto"/>
          <w:sz w:val="24"/>
          <w:highlight w:val="none"/>
          <w:lang w:val="en-US" w:eastAsia="zh-CN"/>
        </w:rPr>
      </w:pPr>
      <w:r>
        <w:rPr>
          <w:rFonts w:hint="eastAsia" w:ascii="仿宋" w:hAnsi="仿宋" w:eastAsia="仿宋"/>
          <w:color w:val="auto"/>
          <w:sz w:val="24"/>
          <w:highlight w:val="none"/>
          <w:lang w:val="en-US" w:eastAsia="zh-CN"/>
        </w:rPr>
        <w:t>4.如发现在保护期内恶意做单，如换电话等其他方式，不做申诉期要求。</w:t>
      </w:r>
    </w:p>
    <w:p w14:paraId="34CC43B1">
      <w:pPr>
        <w:adjustRightInd w:val="0"/>
        <w:snapToGrid w:val="0"/>
        <w:ind w:firstLine="480" w:firstLineChars="200"/>
        <w:rPr>
          <w:rFonts w:ascii="仿宋" w:hAnsi="仿宋" w:eastAsia="仿宋"/>
          <w:b/>
          <w:color w:val="auto"/>
          <w:sz w:val="24"/>
          <w:highlight w:val="none"/>
        </w:rPr>
      </w:pPr>
      <w:r>
        <w:rPr>
          <w:rFonts w:hint="eastAsia" w:ascii="仿宋" w:hAnsi="仿宋" w:eastAsia="仿宋"/>
          <w:color w:val="auto"/>
          <w:sz w:val="24"/>
          <w:highlight w:val="none"/>
          <w:lang w:val="en-US" w:eastAsia="zh-CN"/>
        </w:rPr>
        <w:t>5</w:t>
      </w:r>
      <w:r>
        <w:rPr>
          <w:rFonts w:hint="eastAsia" w:ascii="仿宋" w:hAnsi="仿宋" w:eastAsia="仿宋"/>
          <w:color w:val="auto"/>
          <w:sz w:val="24"/>
          <w:highlight w:val="none"/>
        </w:rPr>
        <w:t>.乙方</w:t>
      </w:r>
      <w:r>
        <w:rPr>
          <w:rFonts w:hint="eastAsia" w:ascii="仿宋" w:hAnsi="仿宋" w:eastAsia="仿宋"/>
          <w:color w:val="auto"/>
          <w:sz w:val="24"/>
          <w:highlight w:val="none"/>
          <w:lang w:val="en-US" w:eastAsia="zh-CN"/>
        </w:rPr>
        <w:t>有效</w:t>
      </w:r>
      <w:r>
        <w:rPr>
          <w:rFonts w:hint="eastAsia" w:ascii="仿宋" w:hAnsi="仿宋" w:eastAsia="仿宋"/>
          <w:color w:val="auto"/>
          <w:sz w:val="24"/>
          <w:highlight w:val="none"/>
        </w:rPr>
        <w:t>推荐客户</w:t>
      </w:r>
      <w:r>
        <w:rPr>
          <w:rFonts w:hint="eastAsia" w:ascii="仿宋" w:hAnsi="仿宋" w:eastAsia="仿宋"/>
          <w:color w:val="auto"/>
          <w:sz w:val="24"/>
          <w:highlight w:val="none"/>
          <w:lang w:val="en-US" w:eastAsia="zh-CN"/>
        </w:rPr>
        <w:t>范围包括预约</w:t>
      </w:r>
      <w:r>
        <w:rPr>
          <w:rFonts w:hint="eastAsia" w:ascii="仿宋" w:hAnsi="仿宋" w:eastAsia="仿宋"/>
          <w:color w:val="auto"/>
          <w:sz w:val="24"/>
          <w:highlight w:val="none"/>
        </w:rPr>
        <w:t>看房至最终签约</w:t>
      </w:r>
      <w:r>
        <w:rPr>
          <w:rFonts w:hint="eastAsia" w:ascii="仿宋" w:hAnsi="仿宋" w:eastAsia="仿宋"/>
          <w:color w:val="auto"/>
          <w:sz w:val="24"/>
          <w:highlight w:val="none"/>
          <w:lang w:val="en-US" w:eastAsia="zh-CN"/>
        </w:rPr>
        <w:t>期间的本人及</w:t>
      </w:r>
      <w:r>
        <w:rPr>
          <w:rFonts w:hint="eastAsia" w:ascii="仿宋" w:hAnsi="仿宋" w:eastAsia="仿宋"/>
          <w:color w:val="auto"/>
          <w:sz w:val="24"/>
          <w:highlight w:val="none"/>
        </w:rPr>
        <w:t>其</w:t>
      </w:r>
      <w:r>
        <w:rPr>
          <w:rFonts w:hint="eastAsia" w:ascii="仿宋" w:hAnsi="仿宋" w:eastAsia="仿宋"/>
          <w:color w:val="auto"/>
          <w:sz w:val="24"/>
          <w:highlight w:val="none"/>
          <w:lang w:val="en-US" w:eastAsia="zh-CN"/>
        </w:rPr>
        <w:t>近</w:t>
      </w:r>
      <w:r>
        <w:rPr>
          <w:rFonts w:hint="eastAsia" w:ascii="仿宋" w:hAnsi="仿宋" w:eastAsia="仿宋"/>
          <w:color w:val="auto"/>
          <w:sz w:val="24"/>
          <w:highlight w:val="none"/>
        </w:rPr>
        <w:t>亲属（父母、子女、</w:t>
      </w:r>
      <w:r>
        <w:rPr>
          <w:rFonts w:hint="eastAsia" w:ascii="仿宋" w:hAnsi="仿宋" w:eastAsia="仿宋"/>
          <w:color w:val="auto"/>
          <w:sz w:val="24"/>
          <w:highlight w:val="none"/>
          <w:lang w:val="en-US" w:eastAsia="zh-CN"/>
        </w:rPr>
        <w:t>配偶等</w:t>
      </w:r>
      <w:r>
        <w:rPr>
          <w:rFonts w:hint="eastAsia" w:ascii="仿宋" w:hAnsi="仿宋" w:eastAsia="仿宋"/>
          <w:color w:val="auto"/>
          <w:sz w:val="24"/>
          <w:highlight w:val="none"/>
        </w:rPr>
        <w:t>）</w:t>
      </w:r>
      <w:r>
        <w:rPr>
          <w:rFonts w:hint="eastAsia" w:ascii="仿宋" w:hAnsi="仿宋" w:eastAsia="仿宋"/>
          <w:color w:val="auto"/>
          <w:sz w:val="24"/>
          <w:highlight w:val="none"/>
          <w:lang w:eastAsia="zh-CN"/>
        </w:rPr>
        <w:t>。</w:t>
      </w:r>
      <w:r>
        <w:rPr>
          <w:rFonts w:hint="eastAsia" w:ascii="仿宋" w:hAnsi="仿宋" w:eastAsia="仿宋" w:cs="Times New Roman"/>
          <w:b w:val="0"/>
          <w:bCs w:val="0"/>
          <w:color w:val="auto"/>
          <w:sz w:val="24"/>
          <w:szCs w:val="21"/>
          <w:highlight w:val="none"/>
          <w:lang w:val="en-US" w:eastAsia="zh-CN"/>
        </w:rPr>
        <w:t>以上人员在到访保护期内成交的一套或多套均应视为乙方业绩，甲方应按合同约定给乙方结算服务费。</w:t>
      </w:r>
    </w:p>
    <w:p w14:paraId="5B2DF71A">
      <w:pPr>
        <w:widowControl/>
        <w:adjustRightInd w:val="0"/>
        <w:snapToGrid w:val="0"/>
        <w:ind w:firstLine="480" w:firstLineChars="200"/>
        <w:rPr>
          <w:rFonts w:hint="eastAsia" w:ascii="仿宋" w:hAnsi="仿宋" w:eastAsia="仿宋"/>
          <w:color w:val="auto"/>
          <w:sz w:val="24"/>
          <w:highlight w:val="none"/>
          <w:lang w:eastAsia="zh-CN"/>
        </w:rPr>
      </w:pPr>
      <w:r>
        <w:rPr>
          <w:rFonts w:hint="eastAsia" w:ascii="仿宋" w:hAnsi="仿宋" w:eastAsia="仿宋"/>
          <w:color w:val="auto"/>
          <w:sz w:val="24"/>
          <w:highlight w:val="none"/>
          <w:lang w:val="en-US" w:eastAsia="zh-CN"/>
        </w:rPr>
        <w:t>6</w:t>
      </w:r>
      <w:r>
        <w:rPr>
          <w:rFonts w:ascii="仿宋" w:hAnsi="仿宋" w:eastAsia="仿宋"/>
          <w:color w:val="auto"/>
          <w:sz w:val="24"/>
          <w:highlight w:val="none"/>
        </w:rPr>
        <w:t>.</w:t>
      </w:r>
      <w:r>
        <w:rPr>
          <w:rFonts w:hint="eastAsia" w:ascii="仿宋" w:hAnsi="仿宋" w:eastAsia="仿宋"/>
          <w:color w:val="auto"/>
          <w:sz w:val="24"/>
          <w:highlight w:val="none"/>
        </w:rPr>
        <w:t>如果项目的销售受当地房屋限购政策影响，届时如果出现推荐客户在签约时要求更名为非</w:t>
      </w:r>
      <w:r>
        <w:rPr>
          <w:rFonts w:hint="eastAsia" w:ascii="仿宋" w:hAnsi="仿宋" w:eastAsia="仿宋"/>
          <w:color w:val="auto"/>
          <w:sz w:val="24"/>
          <w:highlight w:val="none"/>
          <w:lang w:val="en-US" w:eastAsia="zh-CN"/>
        </w:rPr>
        <w:t>近</w:t>
      </w:r>
      <w:r>
        <w:rPr>
          <w:rFonts w:hint="eastAsia" w:ascii="仿宋" w:hAnsi="仿宋" w:eastAsia="仿宋"/>
          <w:color w:val="auto"/>
          <w:sz w:val="24"/>
          <w:highlight w:val="none"/>
        </w:rPr>
        <w:t>亲属的情况，则任何一方都有义务告知对方，并将更名后的实际签约人录入客户系统或重新</w:t>
      </w:r>
      <w:r>
        <w:rPr>
          <w:rFonts w:hint="eastAsia" w:ascii="仿宋" w:hAnsi="仿宋" w:eastAsia="仿宋"/>
          <w:color w:val="auto"/>
          <w:sz w:val="24"/>
          <w:highlight w:val="none"/>
          <w:lang w:val="en-US" w:eastAsia="zh-CN"/>
        </w:rPr>
        <w:t>确认为乙方有效推荐客户</w:t>
      </w:r>
      <w:r>
        <w:rPr>
          <w:rFonts w:hint="eastAsia" w:ascii="仿宋" w:hAnsi="仿宋" w:eastAsia="仿宋"/>
          <w:color w:val="auto"/>
          <w:sz w:val="24"/>
          <w:highlight w:val="none"/>
        </w:rPr>
        <w:t>。</w:t>
      </w:r>
    </w:p>
    <w:p w14:paraId="61B5B34B">
      <w:pPr>
        <w:widowControl/>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lang w:val="en-US" w:eastAsia="zh-CN"/>
        </w:rPr>
        <w:t>7</w:t>
      </w:r>
      <w:r>
        <w:rPr>
          <w:rFonts w:hint="eastAsia" w:ascii="仿宋" w:hAnsi="仿宋" w:eastAsia="仿宋"/>
          <w:color w:val="auto"/>
          <w:sz w:val="24"/>
          <w:highlight w:val="none"/>
        </w:rPr>
        <w:t>.本合同乙方客户包括乙方及乙方整合的渠道客户、联动客户、直销客户、老带新客户等。</w:t>
      </w:r>
    </w:p>
    <w:p w14:paraId="61DEDFDE">
      <w:pPr>
        <w:widowControl/>
        <w:adjustRightInd w:val="0"/>
        <w:snapToGrid w:val="0"/>
        <w:ind w:firstLine="480" w:firstLineChars="200"/>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8</w:t>
      </w:r>
      <w:r>
        <w:rPr>
          <w:rFonts w:hint="eastAsia" w:ascii="仿宋" w:hAnsi="仿宋" w:eastAsia="仿宋"/>
          <w:color w:val="auto"/>
          <w:sz w:val="24"/>
          <w:highlight w:val="none"/>
        </w:rPr>
        <w:t>.若出现乙方推介的客户置换房屋情况的，则此部分房屋在发生上述行为的当月按照置换后的房屋合同总价对服务费进行多退少补。</w:t>
      </w:r>
      <w:r>
        <w:rPr>
          <w:rFonts w:hint="eastAsia" w:ascii="仿宋" w:hAnsi="仿宋" w:eastAsia="仿宋"/>
          <w:color w:val="auto"/>
          <w:sz w:val="24"/>
          <w:highlight w:val="none"/>
          <w:lang w:val="en-US" w:eastAsia="zh-CN"/>
        </w:rPr>
        <w:t>发生置换后的该套房屋甲方按置换前认购当月佣金正常给乙方结算佣金。</w:t>
      </w:r>
    </w:p>
    <w:p w14:paraId="6EE31882">
      <w:pPr>
        <w:widowControl/>
        <w:adjustRightInd w:val="0"/>
        <w:snapToGrid w:val="0"/>
        <w:ind w:firstLine="480" w:firstLineChars="200"/>
        <w:rPr>
          <w:rFonts w:ascii="仿宋" w:hAnsi="仿宋" w:eastAsia="仿宋"/>
          <w:b/>
          <w:color w:val="auto"/>
          <w:sz w:val="24"/>
          <w:highlight w:val="none"/>
        </w:rPr>
      </w:pPr>
      <w:r>
        <w:rPr>
          <w:rFonts w:hint="eastAsia" w:ascii="仿宋" w:hAnsi="仿宋" w:eastAsia="仿宋"/>
          <w:color w:val="auto"/>
          <w:sz w:val="24"/>
          <w:highlight w:val="none"/>
          <w:lang w:val="en-US" w:eastAsia="zh-CN"/>
        </w:rPr>
        <w:t>9</w:t>
      </w:r>
      <w:r>
        <w:rPr>
          <w:rFonts w:hint="eastAsia" w:ascii="仿宋" w:hAnsi="仿宋" w:eastAsia="仿宋"/>
          <w:color w:val="auto"/>
          <w:sz w:val="24"/>
          <w:highlight w:val="none"/>
        </w:rPr>
        <w:t>.甲方确认乙方客户后，甲方不得再行确认该客户为其他销售代理人的客户，否则，无论该客户是否通过乙方与甲方成交，均视为乙方成功销售，甲方仍应按本合同约定支付乙方服务费。</w:t>
      </w:r>
    </w:p>
    <w:p w14:paraId="37D12B1F">
      <w:pPr>
        <w:widowControl/>
        <w:adjustRightInd w:val="0"/>
        <w:snapToGrid w:val="0"/>
        <w:ind w:firstLine="480" w:firstLineChars="200"/>
        <w:rPr>
          <w:color w:val="auto"/>
          <w:highlight w:val="none"/>
        </w:rPr>
      </w:pPr>
      <w:r>
        <w:rPr>
          <w:rFonts w:hint="eastAsia" w:ascii="仿宋" w:hAnsi="仿宋" w:eastAsia="仿宋"/>
          <w:color w:val="auto"/>
          <w:sz w:val="24"/>
          <w:highlight w:val="none"/>
          <w:lang w:val="en-US" w:eastAsia="zh-CN"/>
        </w:rPr>
        <w:t>10</w:t>
      </w:r>
      <w:r>
        <w:rPr>
          <w:rFonts w:hint="eastAsia" w:ascii="仿宋" w:hAnsi="仿宋" w:eastAsia="仿宋"/>
          <w:color w:val="auto"/>
          <w:sz w:val="24"/>
          <w:highlight w:val="none"/>
        </w:rPr>
        <w:t>.如乙方客户</w:t>
      </w:r>
      <w:r>
        <w:rPr>
          <w:rFonts w:ascii="仿宋" w:hAnsi="仿宋" w:eastAsia="仿宋"/>
          <w:color w:val="auto"/>
          <w:sz w:val="24"/>
          <w:highlight w:val="none"/>
        </w:rPr>
        <w:t>及其</w:t>
      </w:r>
      <w:r>
        <w:rPr>
          <w:rFonts w:hint="eastAsia" w:ascii="仿宋" w:hAnsi="仿宋" w:eastAsia="仿宋"/>
          <w:color w:val="auto"/>
          <w:sz w:val="24"/>
          <w:highlight w:val="none"/>
          <w:lang w:val="en-US" w:eastAsia="zh-CN"/>
        </w:rPr>
        <w:t>近</w:t>
      </w:r>
      <w:r>
        <w:rPr>
          <w:rFonts w:ascii="仿宋" w:hAnsi="仿宋" w:eastAsia="仿宋"/>
          <w:color w:val="auto"/>
          <w:sz w:val="24"/>
          <w:highlight w:val="none"/>
        </w:rPr>
        <w:t>亲属（含配偶、父母、子女）</w:t>
      </w:r>
      <w:r>
        <w:rPr>
          <w:rFonts w:hint="eastAsia" w:ascii="仿宋" w:hAnsi="仿宋" w:eastAsia="仿宋"/>
          <w:color w:val="auto"/>
          <w:sz w:val="24"/>
          <w:highlight w:val="none"/>
        </w:rPr>
        <w:t>经甲方确认后购买了本项目非本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合作房源或</w:t>
      </w:r>
      <w:r>
        <w:rPr>
          <w:rFonts w:hint="eastAsia" w:ascii="仿宋" w:hAnsi="仿宋" w:eastAsia="仿宋"/>
          <w:color w:val="auto"/>
          <w:sz w:val="24"/>
          <w:highlight w:val="none"/>
          <w:lang w:val="en-US" w:eastAsia="zh-CN"/>
        </w:rPr>
        <w:t>工抵房</w:t>
      </w:r>
      <w:r>
        <w:rPr>
          <w:rFonts w:ascii="仿宋" w:hAnsi="仿宋" w:eastAsia="仿宋"/>
          <w:color w:val="auto"/>
          <w:sz w:val="24"/>
          <w:highlight w:val="none"/>
        </w:rPr>
        <w:t>（指项目物业抵工程款情形的房源）</w:t>
      </w:r>
      <w:r>
        <w:rPr>
          <w:rFonts w:hint="eastAsia" w:ascii="仿宋" w:hAnsi="仿宋" w:eastAsia="仿宋"/>
          <w:color w:val="auto"/>
          <w:sz w:val="24"/>
          <w:highlight w:val="none"/>
        </w:rPr>
        <w:t>的，均</w:t>
      </w:r>
      <w:r>
        <w:rPr>
          <w:rFonts w:ascii="仿宋" w:hAnsi="仿宋" w:eastAsia="仿宋"/>
          <w:color w:val="auto"/>
          <w:sz w:val="24"/>
          <w:highlight w:val="none"/>
        </w:rPr>
        <w:t>属于乙方推荐有效客户</w:t>
      </w:r>
      <w:r>
        <w:rPr>
          <w:rFonts w:hint="eastAsia" w:ascii="仿宋" w:hAnsi="仿宋" w:eastAsia="仿宋"/>
          <w:color w:val="auto"/>
          <w:sz w:val="24"/>
          <w:highlight w:val="none"/>
          <w:lang w:val="en-US" w:eastAsia="zh-CN"/>
        </w:rPr>
        <w:t>并</w:t>
      </w:r>
      <w:r>
        <w:rPr>
          <w:rFonts w:ascii="仿宋" w:hAnsi="仿宋" w:eastAsia="仿宋"/>
          <w:color w:val="auto"/>
          <w:sz w:val="24"/>
          <w:highlight w:val="none"/>
        </w:rPr>
        <w:t>计入乙方业绩，甲方</w:t>
      </w:r>
      <w:r>
        <w:rPr>
          <w:rFonts w:hint="eastAsia" w:ascii="仿宋" w:hAnsi="仿宋" w:eastAsia="仿宋"/>
          <w:color w:val="auto"/>
          <w:sz w:val="24"/>
          <w:highlight w:val="none"/>
          <w:lang w:val="en-US" w:eastAsia="zh-CN"/>
        </w:rPr>
        <w:t>应</w:t>
      </w:r>
      <w:r>
        <w:rPr>
          <w:rFonts w:ascii="仿宋" w:hAnsi="仿宋" w:eastAsia="仿宋"/>
          <w:color w:val="auto"/>
          <w:sz w:val="24"/>
          <w:highlight w:val="none"/>
        </w:rPr>
        <w:t>根据合同约定向乙方</w:t>
      </w:r>
      <w:r>
        <w:rPr>
          <w:rFonts w:hint="eastAsia" w:ascii="仿宋" w:hAnsi="仿宋" w:eastAsia="仿宋"/>
          <w:color w:val="auto"/>
          <w:sz w:val="24"/>
          <w:highlight w:val="none"/>
          <w:lang w:val="en-US" w:eastAsia="zh-CN"/>
        </w:rPr>
        <w:t>结算</w:t>
      </w:r>
      <w:r>
        <w:rPr>
          <w:rFonts w:ascii="仿宋" w:hAnsi="仿宋" w:eastAsia="仿宋"/>
          <w:color w:val="auto"/>
          <w:sz w:val="24"/>
          <w:highlight w:val="none"/>
        </w:rPr>
        <w:t>对应服务费</w:t>
      </w:r>
      <w:r>
        <w:rPr>
          <w:rFonts w:hint="eastAsia" w:ascii="仿宋" w:hAnsi="仿宋" w:eastAsia="仿宋"/>
          <w:color w:val="auto"/>
          <w:sz w:val="24"/>
          <w:highlight w:val="none"/>
        </w:rPr>
        <w:t>。</w:t>
      </w:r>
    </w:p>
    <w:p w14:paraId="499952E8">
      <w:pPr>
        <w:adjustRightInd w:val="0"/>
        <w:snapToGrid w:val="0"/>
        <w:ind w:firstLine="480" w:firstLineChars="200"/>
        <w:rPr>
          <w:rFonts w:hint="eastAsia" w:ascii="仿宋" w:hAnsi="仿宋" w:eastAsia="仿宋"/>
          <w:color w:val="auto"/>
          <w:sz w:val="24"/>
          <w:highlight w:val="none"/>
          <w:lang w:eastAsia="zh-CN"/>
        </w:rPr>
      </w:pPr>
      <w:r>
        <w:rPr>
          <w:rFonts w:hint="eastAsia" w:ascii="仿宋" w:hAnsi="仿宋" w:eastAsia="仿宋"/>
          <w:color w:val="auto"/>
          <w:sz w:val="24"/>
          <w:highlight w:val="none"/>
          <w:lang w:val="en-US" w:eastAsia="zh-CN"/>
        </w:rPr>
        <w:t>11</w:t>
      </w:r>
      <w:r>
        <w:rPr>
          <w:rFonts w:hint="eastAsia" w:ascii="仿宋" w:hAnsi="仿宋" w:eastAsia="仿宋"/>
          <w:color w:val="auto"/>
          <w:sz w:val="24"/>
          <w:highlight w:val="none"/>
        </w:rPr>
        <w:t>.如非客户主观原因导致客户认购</w:t>
      </w:r>
      <w:r>
        <w:rPr>
          <w:rFonts w:hint="eastAsia" w:ascii="仿宋" w:hAnsi="仿宋" w:eastAsia="仿宋"/>
          <w:color w:val="auto"/>
          <w:sz w:val="24"/>
          <w:highlight w:val="none"/>
          <w:lang w:val="en-US" w:eastAsia="zh-CN"/>
        </w:rPr>
        <w:t>并签订认购书</w:t>
      </w:r>
      <w:r>
        <w:rPr>
          <w:rFonts w:hint="eastAsia" w:ascii="仿宋" w:hAnsi="仿宋" w:eastAsia="仿宋"/>
          <w:color w:val="auto"/>
          <w:sz w:val="24"/>
          <w:highlight w:val="none"/>
        </w:rPr>
        <w:t>后不能及时签署《商品房买卖合同》（草签或网签）的，则在</w:t>
      </w:r>
      <w:r>
        <w:rPr>
          <w:rFonts w:hint="eastAsia" w:ascii="仿宋" w:hAnsi="仿宋" w:eastAsia="仿宋"/>
          <w:color w:val="auto"/>
          <w:sz w:val="24"/>
          <w:highlight w:val="none"/>
          <w:lang w:val="en-US" w:eastAsia="zh-CN"/>
        </w:rPr>
        <w:t>客户方签订</w:t>
      </w:r>
      <w:r>
        <w:rPr>
          <w:rFonts w:hint="eastAsia" w:ascii="仿宋" w:hAnsi="仿宋" w:eastAsia="仿宋"/>
          <w:color w:val="auto"/>
          <w:sz w:val="24"/>
          <w:highlight w:val="none"/>
        </w:rPr>
        <w:t>认购书约定签署日期后30</w:t>
      </w:r>
      <w:r>
        <w:rPr>
          <w:rFonts w:hint="eastAsia" w:ascii="仿宋" w:hAnsi="仿宋" w:eastAsia="仿宋"/>
          <w:color w:val="auto"/>
          <w:sz w:val="24"/>
          <w:highlight w:val="none"/>
          <w:lang w:val="en-US" w:eastAsia="zh-CN"/>
        </w:rPr>
        <w:t>日</w:t>
      </w:r>
      <w:r>
        <w:rPr>
          <w:rFonts w:hint="eastAsia" w:ascii="仿宋" w:hAnsi="仿宋" w:eastAsia="仿宋"/>
          <w:color w:val="auto"/>
          <w:sz w:val="24"/>
          <w:highlight w:val="none"/>
        </w:rPr>
        <w:t>视为成功销售，达到服务费结算条件。</w:t>
      </w:r>
    </w:p>
    <w:p w14:paraId="24C141C7">
      <w:pPr>
        <w:numPr>
          <w:ilvl w:val="0"/>
          <w:numId w:val="0"/>
        </w:numPr>
        <w:adjustRightInd/>
        <w:snapToGrid/>
        <w:ind w:leftChars="0" w:firstLine="0" w:firstLineChars="0"/>
        <w:jc w:val="left"/>
        <w:rPr>
          <w:rFonts w:hint="eastAsia" w:ascii="仿宋" w:hAnsi="仿宋" w:eastAsia="仿宋" w:cs="Times New Roman"/>
          <w:b w:val="0"/>
          <w:bCs w:val="0"/>
          <w:color w:val="auto"/>
          <w:sz w:val="24"/>
          <w:szCs w:val="21"/>
          <w:highlight w:val="none"/>
          <w:lang w:val="en-US" w:eastAsia="zh-CN"/>
        </w:rPr>
      </w:pPr>
      <w:r>
        <w:rPr>
          <w:rFonts w:hint="eastAsia" w:ascii="仿宋" w:hAnsi="仿宋" w:eastAsia="仿宋"/>
          <w:color w:val="auto"/>
          <w:sz w:val="24"/>
          <w:highlight w:val="none"/>
        </w:rPr>
        <w:t xml:space="preserve">   </w:t>
      </w:r>
      <w:r>
        <w:rPr>
          <w:rFonts w:hint="default" w:ascii="仿宋" w:hAnsi="仿宋" w:eastAsia="仿宋"/>
          <w:b w:val="0"/>
          <w:bCs w:val="0"/>
          <w:color w:val="auto"/>
          <w:sz w:val="24"/>
          <w:highlight w:val="none"/>
          <w:lang w:eastAsia="zh-CN"/>
        </w:rPr>
        <w:t xml:space="preserve"> </w:t>
      </w:r>
      <w:r>
        <w:rPr>
          <w:rFonts w:hint="eastAsia" w:ascii="仿宋" w:hAnsi="仿宋" w:eastAsia="仿宋"/>
          <w:b w:val="0"/>
          <w:bCs w:val="0"/>
          <w:color w:val="auto"/>
          <w:sz w:val="24"/>
          <w:highlight w:val="none"/>
          <w:lang w:val="en-US" w:eastAsia="zh-CN"/>
        </w:rPr>
        <w:t>12</w:t>
      </w:r>
      <w:r>
        <w:rPr>
          <w:rFonts w:hint="default" w:ascii="仿宋" w:hAnsi="仿宋" w:eastAsia="仿宋"/>
          <w:b w:val="0"/>
          <w:bCs w:val="0"/>
          <w:color w:val="auto"/>
          <w:sz w:val="24"/>
          <w:highlight w:val="none"/>
          <w:lang w:val="en-US" w:eastAsia="zh-CN"/>
        </w:rPr>
        <w:t>.</w:t>
      </w:r>
      <w:r>
        <w:rPr>
          <w:rFonts w:hint="default" w:ascii="仿宋" w:hAnsi="仿宋" w:eastAsia="仿宋" w:cs="Times New Roman"/>
          <w:b w:val="0"/>
          <w:bCs w:val="0"/>
          <w:color w:val="auto"/>
          <w:sz w:val="24"/>
          <w:szCs w:val="21"/>
          <w:highlight w:val="none"/>
        </w:rPr>
        <w:t>若本合同合作房源未开盘销售前，甲乙双方提前终止合作的，乙方客户享有开盘后【30】天的客户保护期。上述客户在开盘后【30】天内认购本合同合作房源的，甲方应按本合同约定支付乙方佣金。</w:t>
      </w:r>
    </w:p>
    <w:p w14:paraId="1AE07469">
      <w:pPr>
        <w:numPr>
          <w:ilvl w:val="-1"/>
          <w:numId w:val="0"/>
        </w:numPr>
        <w:adjustRightInd w:val="0"/>
        <w:snapToGrid w:val="0"/>
        <w:ind w:leftChars="0" w:firstLine="480" w:firstLineChars="200"/>
        <w:jc w:val="left"/>
        <w:rPr>
          <w:rFonts w:hint="eastAsia" w:ascii="仿宋" w:hAnsi="仿宋" w:eastAsia="仿宋" w:cs="Times New Roman"/>
          <w:b w:val="0"/>
          <w:bCs w:val="0"/>
          <w:color w:val="auto"/>
          <w:sz w:val="24"/>
          <w:szCs w:val="21"/>
          <w:highlight w:val="none"/>
          <w:lang w:val="en-US" w:eastAsia="zh-CN"/>
        </w:rPr>
      </w:pPr>
      <w:r>
        <w:rPr>
          <w:rFonts w:hint="eastAsia" w:ascii="仿宋" w:hAnsi="仿宋" w:eastAsia="仿宋" w:cs="Times New Roman"/>
          <w:b w:val="0"/>
          <w:bCs w:val="0"/>
          <w:color w:val="auto"/>
          <w:sz w:val="24"/>
          <w:szCs w:val="21"/>
          <w:highlight w:val="none"/>
          <w:lang w:val="en-US" w:eastAsia="zh-CN"/>
        </w:rPr>
        <w:t>13.乙方推荐客户的随行人员属同一组客户，前提为首次到访。若随行人员购买本项目，甲方应按合同结佣条件正常给乙方结算服务费。</w:t>
      </w:r>
    </w:p>
    <w:p w14:paraId="46BE436E">
      <w:pPr>
        <w:numPr>
          <w:ilvl w:val="-1"/>
          <w:numId w:val="0"/>
        </w:numPr>
        <w:adjustRightInd w:val="0"/>
        <w:snapToGrid w:val="0"/>
        <w:ind w:leftChars="0" w:firstLine="480" w:firstLineChars="200"/>
        <w:rPr>
          <w:rFonts w:hint="eastAsia" w:ascii="仿宋" w:hAnsi="仿宋" w:eastAsia="仿宋" w:cs="Times New Roman"/>
          <w:b w:val="0"/>
          <w:bCs w:val="0"/>
          <w:color w:val="auto"/>
          <w:sz w:val="24"/>
          <w:szCs w:val="21"/>
          <w:highlight w:val="none"/>
          <w:lang w:val="en-US" w:eastAsia="zh-CN"/>
        </w:rPr>
      </w:pPr>
      <w:r>
        <w:rPr>
          <w:rFonts w:hint="eastAsia" w:ascii="仿宋" w:hAnsi="仿宋" w:eastAsia="仿宋" w:cs="Times New Roman"/>
          <w:b w:val="0"/>
          <w:bCs w:val="0"/>
          <w:color w:val="auto"/>
          <w:sz w:val="24"/>
          <w:szCs w:val="21"/>
          <w:highlight w:val="none"/>
          <w:lang w:val="en-US" w:eastAsia="zh-CN"/>
        </w:rPr>
        <w:t>14.乙方有效报备客户，因客户原因无法到达项目，但通过其他方式（网络、委托第三人看房、直接转账等）完成到访确认及确定认购房屋，业绩归属乙方。甲方应按照合同约定支付对应服务费。</w:t>
      </w:r>
    </w:p>
    <w:p w14:paraId="7E4F1F6B">
      <w:pPr>
        <w:numPr>
          <w:ilvl w:val="-1"/>
          <w:numId w:val="0"/>
        </w:numPr>
        <w:adjustRightInd w:val="0"/>
        <w:snapToGrid w:val="0"/>
        <w:ind w:leftChars="0" w:firstLine="480" w:firstLineChars="200"/>
        <w:rPr>
          <w:rFonts w:hint="default" w:ascii="仿宋" w:hAnsi="仿宋" w:eastAsia="仿宋" w:cs="Times New Roman"/>
          <w:b w:val="0"/>
          <w:bCs w:val="0"/>
          <w:color w:val="auto"/>
          <w:sz w:val="24"/>
          <w:szCs w:val="21"/>
          <w:highlight w:val="none"/>
          <w:lang w:val="en-US" w:eastAsia="zh-CN"/>
        </w:rPr>
      </w:pPr>
      <w:r>
        <w:rPr>
          <w:rFonts w:hint="eastAsia" w:ascii="仿宋" w:hAnsi="仿宋" w:eastAsia="仿宋" w:cs="Times New Roman"/>
          <w:b w:val="0"/>
          <w:bCs w:val="0"/>
          <w:color w:val="auto"/>
          <w:sz w:val="24"/>
          <w:szCs w:val="21"/>
          <w:highlight w:val="none"/>
          <w:lang w:val="en-US" w:eastAsia="zh-CN"/>
        </w:rPr>
        <w:t>15.乙方客户若线上认筹或认购，因疫情等不可抗力事件无法在有效保护期内认购并签约的，甲方应按照合同约定正常结算服务费。</w:t>
      </w:r>
    </w:p>
    <w:p w14:paraId="32D8B41B">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第六条成功销售的界定</w:t>
      </w:r>
    </w:p>
    <w:p w14:paraId="696201A5">
      <w:pPr>
        <w:numPr>
          <w:ilvl w:val="0"/>
          <w:numId w:val="1"/>
        </w:numPr>
        <w:ind w:firstLine="480" w:firstLineChars="200"/>
        <w:rPr>
          <w:rFonts w:hint="eastAsia" w:ascii="仿宋" w:hAnsi="仿宋" w:eastAsia="仿宋"/>
          <w:color w:val="auto"/>
          <w:sz w:val="24"/>
          <w:highlight w:val="none"/>
        </w:rPr>
      </w:pPr>
      <w:r>
        <w:rPr>
          <w:rFonts w:hint="eastAsia" w:ascii="仿宋" w:hAnsi="仿宋" w:eastAsia="仿宋"/>
          <w:color w:val="auto"/>
          <w:sz w:val="24"/>
          <w:szCs w:val="28"/>
          <w:highlight w:val="none"/>
        </w:rPr>
        <w:t>推荐客户与甲方签署《商品房买卖合同》（</w:t>
      </w:r>
      <w:r>
        <w:rPr>
          <w:rFonts w:hint="eastAsia" w:ascii="仿宋" w:hAnsi="仿宋" w:eastAsia="仿宋"/>
          <w:color w:val="auto"/>
          <w:sz w:val="24"/>
          <w:szCs w:val="28"/>
          <w:highlight w:val="none"/>
          <w:lang w:val="en-US" w:eastAsia="zh-CN"/>
        </w:rPr>
        <w:t>签订形式</w:t>
      </w:r>
      <w:r>
        <w:rPr>
          <w:rFonts w:hint="eastAsia" w:ascii="仿宋" w:hAnsi="仿宋" w:eastAsia="仿宋"/>
          <w:color w:val="auto"/>
          <w:sz w:val="24"/>
          <w:highlight w:val="none"/>
        </w:rPr>
        <w:t>草签或网签</w:t>
      </w:r>
      <w:r>
        <w:rPr>
          <w:rFonts w:hint="eastAsia" w:ascii="仿宋" w:hAnsi="仿宋" w:eastAsia="仿宋"/>
          <w:color w:val="auto"/>
          <w:sz w:val="24"/>
          <w:highlight w:val="none"/>
          <w:lang w:val="en-US" w:eastAsia="zh-CN"/>
        </w:rPr>
        <w:t>均应认定达成房屋买卖合意，合同有效</w:t>
      </w:r>
      <w:r>
        <w:rPr>
          <w:rFonts w:hint="eastAsia" w:ascii="仿宋" w:hAnsi="仿宋" w:eastAsia="仿宋"/>
          <w:color w:val="auto"/>
          <w:sz w:val="24"/>
          <w:szCs w:val="28"/>
          <w:highlight w:val="none"/>
        </w:rPr>
        <w:t>），视作乙方成功销售，成功销售后甲方应按</w:t>
      </w:r>
      <w:r>
        <w:rPr>
          <w:rFonts w:hint="eastAsia" w:ascii="仿宋" w:hAnsi="仿宋" w:eastAsia="仿宋"/>
          <w:color w:val="auto"/>
          <w:sz w:val="24"/>
          <w:szCs w:val="28"/>
          <w:highlight w:val="none"/>
          <w:lang w:val="en-US" w:eastAsia="zh-CN"/>
        </w:rPr>
        <w:t>本</w:t>
      </w:r>
      <w:r>
        <w:rPr>
          <w:rFonts w:hint="eastAsia" w:ascii="仿宋" w:hAnsi="仿宋" w:eastAsia="仿宋"/>
          <w:color w:val="auto"/>
          <w:sz w:val="24"/>
          <w:szCs w:val="28"/>
          <w:highlight w:val="none"/>
        </w:rPr>
        <w:t>合同约定向乙方结算服务费。</w:t>
      </w:r>
      <w:r>
        <w:rPr>
          <w:rFonts w:hint="eastAsia" w:ascii="仿宋" w:hAnsi="仿宋" w:eastAsia="仿宋"/>
          <w:color w:val="auto"/>
          <w:sz w:val="24"/>
          <w:highlight w:val="none"/>
        </w:rPr>
        <w:t>若因甲方原因导致商品房买卖合同签署日期超过认购书约定签署日期后30日的，则第30日期满时视为乙方成功销售。</w:t>
      </w:r>
    </w:p>
    <w:p w14:paraId="5B6AC33E">
      <w:pPr>
        <w:adjustRightInd w:val="0"/>
        <w:snapToGrid w:val="0"/>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2.甲方负责在每周</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周一</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前对乙方成功销售的房源房屋进行分批次成销（交）确认</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乙方提供</w:t>
      </w:r>
      <w:r>
        <w:rPr>
          <w:rFonts w:hint="eastAsia" w:ascii="仿宋" w:hAnsi="仿宋" w:eastAsia="仿宋"/>
          <w:color w:val="auto"/>
          <w:sz w:val="24"/>
          <w:szCs w:val="28"/>
          <w:highlight w:val="none"/>
        </w:rPr>
        <w:t>《项目成功销售确认单》</w:t>
      </w:r>
      <w:r>
        <w:rPr>
          <w:rFonts w:hint="eastAsia" w:ascii="仿宋" w:hAnsi="仿宋" w:eastAsia="仿宋"/>
          <w:color w:val="auto"/>
          <w:sz w:val="24"/>
          <w:szCs w:val="28"/>
          <w:highlight w:val="none"/>
          <w:lang w:val="en-US" w:eastAsia="zh-CN"/>
        </w:rPr>
        <w:t>并</w:t>
      </w:r>
      <w:r>
        <w:rPr>
          <w:rFonts w:hint="eastAsia" w:ascii="仿宋" w:hAnsi="仿宋" w:eastAsia="仿宋"/>
          <w:color w:val="auto"/>
          <w:sz w:val="24"/>
          <w:szCs w:val="28"/>
          <w:highlight w:val="none"/>
        </w:rPr>
        <w:t>由甲方予以核对签字或盖章确认</w:t>
      </w:r>
      <w:r>
        <w:rPr>
          <w:rFonts w:hint="eastAsia" w:ascii="仿宋" w:hAnsi="仿宋" w:eastAsia="仿宋"/>
          <w:color w:val="auto"/>
          <w:sz w:val="24"/>
          <w:szCs w:val="28"/>
          <w:highlight w:val="none"/>
          <w:lang w:val="en-US" w:eastAsia="zh-CN"/>
        </w:rPr>
        <w:t>（盖章包括：</w:t>
      </w:r>
      <w:r>
        <w:rPr>
          <w:rFonts w:hint="eastAsia" w:ascii="仿宋" w:hAnsi="仿宋" w:eastAsia="仿宋"/>
          <w:color w:val="auto"/>
          <w:sz w:val="24"/>
          <w:szCs w:val="28"/>
          <w:highlight w:val="none"/>
        </w:rPr>
        <w:t>公章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合同专用章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财务专用章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签字包括：本项目有关负责人</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Hans"/>
        </w:rPr>
        <w:t>财务人员</w:t>
      </w:r>
      <w:r>
        <w:rPr>
          <w:rFonts w:hint="eastAsia" w:ascii="仿宋" w:hAnsi="仿宋" w:eastAsia="仿宋"/>
          <w:color w:val="auto"/>
          <w:sz w:val="24"/>
          <w:szCs w:val="28"/>
          <w:highlight w:val="none"/>
          <w:lang w:val="en-US" w:eastAsia="zh-CN"/>
        </w:rPr>
        <w:t>、本项目授权人</w:t>
      </w:r>
      <w:r>
        <w:rPr>
          <w:rFonts w:hint="eastAsia" w:ascii="仿宋" w:hAnsi="仿宋" w:eastAsia="仿宋"/>
          <w:color w:val="auto"/>
          <w:sz w:val="24"/>
          <w:szCs w:val="28"/>
          <w:highlight w:val="none"/>
        </w:rPr>
        <w:t>签字</w:t>
      </w:r>
      <w:r>
        <w:rPr>
          <w:rFonts w:hint="eastAsia" w:ascii="仿宋" w:hAnsi="仿宋" w:eastAsia="仿宋"/>
          <w:color w:val="auto"/>
          <w:sz w:val="24"/>
          <w:szCs w:val="28"/>
          <w:highlight w:val="none"/>
          <w:lang w:val="en-US" w:eastAsia="zh-Hans"/>
        </w:rPr>
        <w:t>等</w:t>
      </w:r>
      <w:r>
        <w:rPr>
          <w:rFonts w:hint="eastAsia" w:ascii="仿宋" w:hAnsi="仿宋" w:eastAsia="仿宋"/>
          <w:color w:val="auto"/>
          <w:sz w:val="24"/>
          <w:szCs w:val="28"/>
          <w:highlight w:val="none"/>
        </w:rPr>
        <w:t>）</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甲方逾期</w:t>
      </w:r>
      <w:r>
        <w:rPr>
          <w:rFonts w:hint="eastAsia" w:ascii="仿宋" w:hAnsi="仿宋" w:eastAsia="仿宋"/>
          <w:color w:val="auto"/>
          <w:sz w:val="24"/>
          <w:szCs w:val="28"/>
          <w:highlight w:val="none"/>
          <w:lang w:val="en-US" w:eastAsia="zh-CN"/>
        </w:rPr>
        <w:t>7日</w:t>
      </w:r>
      <w:r>
        <w:rPr>
          <w:rFonts w:hint="eastAsia" w:ascii="仿宋" w:hAnsi="仿宋" w:eastAsia="仿宋"/>
          <w:color w:val="auto"/>
          <w:sz w:val="24"/>
          <w:szCs w:val="28"/>
          <w:highlight w:val="none"/>
        </w:rPr>
        <w:t>未确认的，视为乙方提交的材料无误并以此为据结算。确认材料一式二份，甲乙双方各执一份。</w:t>
      </w:r>
    </w:p>
    <w:p w14:paraId="3F829687">
      <w:pPr>
        <w:adjustRightInd w:val="0"/>
        <w:snapToGrid w:val="0"/>
        <w:ind w:left="40" w:leftChars="19"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szCs w:val="28"/>
          <w:highlight w:val="none"/>
          <w:lang w:val="en-US" w:eastAsia="zh-CN"/>
        </w:rPr>
        <w:t>3</w:t>
      </w:r>
      <w:r>
        <w:rPr>
          <w:rFonts w:hint="eastAsia" w:ascii="仿宋" w:hAnsi="仿宋" w:eastAsia="仿宋"/>
          <w:color w:val="auto"/>
          <w:sz w:val="24"/>
          <w:szCs w:val="28"/>
          <w:highlight w:val="none"/>
        </w:rPr>
        <w:t>.甲方完成客户确认/成销确认后，则视为乙方业绩无误，甲方任何时候不得以内部回访、</w:t>
      </w:r>
      <w:r>
        <w:rPr>
          <w:rFonts w:hint="eastAsia" w:ascii="仿宋" w:hAnsi="仿宋" w:eastAsia="仿宋"/>
          <w:color w:val="auto"/>
          <w:sz w:val="24"/>
          <w:szCs w:val="28"/>
          <w:highlight w:val="none"/>
          <w:lang w:val="en-US" w:eastAsia="zh-CN"/>
        </w:rPr>
        <w:t>甲方案场、</w:t>
      </w:r>
      <w:r>
        <w:rPr>
          <w:rFonts w:hint="eastAsia" w:ascii="仿宋" w:hAnsi="仿宋" w:eastAsia="仿宋"/>
          <w:color w:val="auto"/>
          <w:sz w:val="24"/>
          <w:szCs w:val="28"/>
          <w:highlight w:val="none"/>
        </w:rPr>
        <w:t>人脸识别、二次确客机制</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系统登记、未签署《项目客户确认单》</w:t>
      </w:r>
      <w:r>
        <w:rPr>
          <w:rFonts w:hint="eastAsia" w:ascii="仿宋" w:hAnsi="仿宋" w:eastAsia="仿宋"/>
          <w:color w:val="auto"/>
          <w:sz w:val="24"/>
          <w:szCs w:val="28"/>
          <w:highlight w:val="none"/>
        </w:rPr>
        <w:t>等理由扣除、撤销或推翻乙方业绩（但乙方原因造成客户退房情形除外）</w:t>
      </w:r>
      <w:r>
        <w:rPr>
          <w:rFonts w:hint="eastAsia" w:ascii="仿宋" w:hAnsi="仿宋" w:eastAsia="仿宋"/>
          <w:color w:val="auto"/>
          <w:sz w:val="24"/>
          <w:szCs w:val="28"/>
          <w:highlight w:val="none"/>
          <w:lang w:eastAsia="zh-CN"/>
        </w:rPr>
        <w:t>，按当月佣金正常结算</w:t>
      </w:r>
      <w:r>
        <w:rPr>
          <w:rFonts w:hint="eastAsia" w:ascii="仿宋" w:hAnsi="仿宋" w:eastAsia="仿宋"/>
          <w:color w:val="auto"/>
          <w:sz w:val="24"/>
          <w:szCs w:val="28"/>
          <w:highlight w:val="none"/>
        </w:rPr>
        <w:t>。</w:t>
      </w:r>
    </w:p>
    <w:p w14:paraId="6DE2F2DC">
      <w:pPr>
        <w:adjustRightInd w:val="0"/>
        <w:snapToGrid w:val="0"/>
        <w:ind w:firstLine="482" w:firstLineChars="200"/>
        <w:rPr>
          <w:rFonts w:ascii="仿宋" w:hAnsi="仿宋" w:eastAsia="仿宋"/>
          <w:b/>
          <w:color w:val="auto"/>
          <w:sz w:val="24"/>
          <w:szCs w:val="28"/>
          <w:highlight w:val="none"/>
        </w:rPr>
      </w:pPr>
    </w:p>
    <w:p w14:paraId="2D2247C1">
      <w:pPr>
        <w:adjustRightInd w:val="0"/>
        <w:snapToGrid w:val="0"/>
        <w:ind w:firstLine="482" w:firstLineChars="200"/>
        <w:rPr>
          <w:rFonts w:ascii="仿宋" w:hAnsi="仿宋" w:eastAsia="仿宋"/>
          <w:b/>
          <w:color w:val="auto"/>
          <w:sz w:val="24"/>
          <w:highlight w:val="none"/>
        </w:rPr>
      </w:pPr>
    </w:p>
    <w:p w14:paraId="69294A83">
      <w:pPr>
        <w:adjustRightInd w:val="0"/>
        <w:snapToGrid w:val="0"/>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第七条服务费结算标准及结算方式</w:t>
      </w:r>
    </w:p>
    <w:p w14:paraId="44BECB66">
      <w:pPr>
        <w:adjustRightInd w:val="0"/>
        <w:snapToGrid w:val="0"/>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服务费（即佣金）结算标准</w:t>
      </w:r>
    </w:p>
    <w:p w14:paraId="31E953F3">
      <w:pPr>
        <w:adjustRightInd w:val="0"/>
        <w:snapToGrid w:val="0"/>
        <w:ind w:firstLine="480" w:firstLineChars="200"/>
        <w:rPr>
          <w:rFonts w:hint="default" w:ascii="仿宋" w:hAnsi="仿宋" w:eastAsia="仿宋"/>
          <w:color w:val="auto"/>
          <w:sz w:val="24"/>
          <w:szCs w:val="28"/>
          <w:highlight w:val="none"/>
          <w:lang w:val="en-US" w:eastAsia="zh-CN"/>
        </w:rPr>
      </w:pPr>
      <w:r>
        <w:rPr>
          <w:rFonts w:hint="eastAsia" w:ascii="仿宋" w:hAnsi="仿宋" w:eastAsia="仿宋"/>
          <w:color w:val="auto"/>
          <w:sz w:val="24"/>
          <w:szCs w:val="28"/>
          <w:highlight w:val="none"/>
        </w:rPr>
        <w:t>（1）支付比例：乙方推荐客户与甲方签署《商品房买卖合同》且客户（按揭客户/自付分期客户）完成首付款支付（</w:t>
      </w:r>
      <w:r>
        <w:rPr>
          <w:rFonts w:ascii="仿宋" w:hAnsi="仿宋" w:eastAsia="仿宋"/>
          <w:color w:val="auto"/>
          <w:sz w:val="24"/>
          <w:szCs w:val="28"/>
          <w:highlight w:val="none"/>
        </w:rPr>
        <w:t>一次性客户支付首笔款或以上</w:t>
      </w:r>
      <w:r>
        <w:rPr>
          <w:rFonts w:hint="eastAsia" w:ascii="仿宋" w:hAnsi="仿宋" w:eastAsia="仿宋"/>
          <w:color w:val="auto"/>
          <w:sz w:val="24"/>
          <w:szCs w:val="28"/>
          <w:highlight w:val="none"/>
        </w:rPr>
        <w:t>），则次月甲方向乙方支付佣金100%。若客户与甲方签署《商品房买卖合同》后30日内仍未付清首付款或首笔款的，则甲方30日期满次月向乙方支付佣金100%。所有在售房源均按照7600元/平方米进行结佣，即7600*销售面积*相应佣金点位=结佣金额</w:t>
      </w:r>
    </w:p>
    <w:p w14:paraId="13C459FF">
      <w:pPr>
        <w:adjustRightInd w:val="0"/>
        <w:snapToGrid w:val="0"/>
        <w:ind w:firstLine="480" w:firstLineChars="200"/>
        <w:rPr>
          <w:rFonts w:ascii="仿宋" w:hAnsi="仿宋" w:eastAsia="仿宋"/>
          <w:color w:val="auto"/>
          <w:sz w:val="24"/>
          <w:highlight w:val="none"/>
        </w:rPr>
      </w:pPr>
      <w:r>
        <w:rPr>
          <w:rFonts w:hint="eastAsia" w:ascii="仿宋" w:hAnsi="仿宋" w:eastAsia="仿宋" w:cs="宋体"/>
          <w:color w:val="auto"/>
          <w:kern w:val="0"/>
          <w:sz w:val="24"/>
          <w:highlight w:val="none"/>
        </w:rPr>
        <w:t>（2）服务费点数，甲方同意给予乙方服务费标准为：</w:t>
      </w:r>
    </w:p>
    <w:p w14:paraId="7E2C02CA">
      <w:pPr>
        <w:adjustRightInd w:val="0"/>
        <w:snapToGrid w:val="0"/>
        <w:ind w:firstLine="480" w:firstLineChars="200"/>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①若自然月/合作期内乙方推荐客户认购（以甲方和客户签署商品房认购书为准，下同）套数＜【5】套，则按照全部认购房源成交房款总额（以甲方和客户签署的商品房买卖合同所载金额为准，下同）的【4 】%结算佣金（含税金）；</w:t>
      </w:r>
    </w:p>
    <w:p w14:paraId="776A7CF1">
      <w:pPr>
        <w:adjustRightInd w:val="0"/>
        <w:snapToGrid w:val="0"/>
        <w:ind w:firstLine="480" w:firstLineChars="200"/>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②【 5】套≤若自然月/合作期内乙方推荐客户认购＜【10】套，则按照全部认购房源成交房款总额的【4.5】%结算佣金（含税金）。</w:t>
      </w:r>
    </w:p>
    <w:p w14:paraId="5C9C0249">
      <w:pPr>
        <w:adjustRightInd w:val="0"/>
        <w:snapToGrid w:val="0"/>
        <w:ind w:firstLine="480" w:firstLineChars="200"/>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③若自然月/合作期内乙方推荐客户认购≥【10】套以上（含本数），则按照全部认购房源成交房款总额的【5】%结算佣金（含税金）。</w:t>
      </w:r>
    </w:p>
    <w:p w14:paraId="67619AB9">
      <w:pPr>
        <w:adjustRightInd w:val="0"/>
        <w:snapToGrid w:val="0"/>
        <w:ind w:firstLine="480" w:firstLineChars="200"/>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④破底价业务按当月正常佣金结算，不影响乙方的推介佣金计提比例。</w:t>
      </w:r>
    </w:p>
    <w:p w14:paraId="398861E6">
      <w:pPr>
        <w:adjustRightInd w:val="0"/>
        <w:snapToGrid w:val="0"/>
        <w:ind w:firstLine="480" w:firstLineChars="200"/>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以上服务费跳点为全额通跳，例如：自然月/合作期内乙方认购套数为【10】套的，该【10】套成交后均按【5】%进行佣金结算。如服务费发生跳点情形，甲方应在跳点后的最近结佣节点内一次性向乙方补齐上调后的全部成交单【5】%差额。</w:t>
      </w:r>
    </w:p>
    <w:p w14:paraId="322B5945">
      <w:pPr>
        <w:adjustRightInd w:val="0"/>
        <w:snapToGrid w:val="0"/>
        <w:ind w:firstLine="480" w:firstLineChars="200"/>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结算方式</w:t>
      </w:r>
    </w:p>
    <w:p w14:paraId="7630A14A">
      <w:pPr>
        <w:adjustRightInd w:val="0"/>
        <w:snapToGrid w:val="0"/>
        <w:ind w:left="40" w:leftChars="19"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w:t>
      </w:r>
      <w:r>
        <w:rPr>
          <w:rFonts w:ascii="仿宋" w:hAnsi="仿宋" w:eastAsia="仿宋"/>
          <w:color w:val="auto"/>
          <w:sz w:val="24"/>
          <w:szCs w:val="28"/>
          <w:highlight w:val="none"/>
        </w:rPr>
        <w:t>1）</w:t>
      </w:r>
      <w:r>
        <w:rPr>
          <w:rFonts w:hint="eastAsia" w:ascii="仿宋" w:hAnsi="仿宋" w:eastAsia="仿宋"/>
          <w:color w:val="auto"/>
          <w:sz w:val="24"/>
          <w:szCs w:val="28"/>
          <w:highlight w:val="none"/>
        </w:rPr>
        <w:t>服务费甲方按每个自然月与乙方进行对账、结算</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且结算服务费以客户认购当月的服务费点数比例计算佣金</w:t>
      </w:r>
      <w:r>
        <w:rPr>
          <w:rFonts w:hint="eastAsia" w:ascii="仿宋" w:hAnsi="仿宋" w:eastAsia="仿宋"/>
          <w:color w:val="auto"/>
          <w:sz w:val="24"/>
          <w:szCs w:val="28"/>
          <w:highlight w:val="none"/>
        </w:rPr>
        <w:t>。</w:t>
      </w:r>
    </w:p>
    <w:p w14:paraId="69AD9E0D">
      <w:pPr>
        <w:adjustRightInd w:val="0"/>
        <w:snapToGrid w:val="0"/>
        <w:ind w:left="40" w:leftChars="19" w:firstLine="480" w:firstLineChars="200"/>
        <w:rPr>
          <w:rFonts w:hint="eastAsia" w:ascii="仿宋" w:hAnsi="仿宋" w:eastAsia="仿宋"/>
          <w:color w:val="auto"/>
          <w:sz w:val="24"/>
          <w:szCs w:val="28"/>
          <w:highlight w:val="none"/>
          <w:lang w:eastAsia="zh-CN"/>
        </w:rPr>
      </w:pPr>
      <w:r>
        <w:rPr>
          <w:rFonts w:hint="eastAsia" w:ascii="仿宋" w:hAnsi="仿宋" w:eastAsia="仿宋"/>
          <w:color w:val="auto"/>
          <w:sz w:val="24"/>
          <w:szCs w:val="28"/>
          <w:highlight w:val="none"/>
        </w:rPr>
        <w:t>（2</w:t>
      </w:r>
      <w:r>
        <w:rPr>
          <w:rFonts w:ascii="仿宋" w:hAnsi="仿宋" w:eastAsia="仿宋"/>
          <w:color w:val="auto"/>
          <w:sz w:val="24"/>
          <w:szCs w:val="28"/>
          <w:highlight w:val="none"/>
        </w:rPr>
        <w:t>）</w:t>
      </w:r>
      <w:r>
        <w:rPr>
          <w:rFonts w:hint="eastAsia" w:ascii="仿宋" w:hAnsi="仿宋" w:eastAsia="仿宋"/>
          <w:color w:val="auto"/>
          <w:sz w:val="24"/>
          <w:szCs w:val="28"/>
          <w:highlight w:val="none"/>
        </w:rPr>
        <w:t>乙方在每个自然月3日前，将上月符合结算条件的房源整理形成《项目对账结算单》（模板见附件三）与甲方盖章</w:t>
      </w:r>
      <w:r>
        <w:rPr>
          <w:rFonts w:hint="eastAsia" w:ascii="仿宋" w:hAnsi="仿宋" w:eastAsia="仿宋"/>
          <w:color w:val="auto"/>
          <w:sz w:val="24"/>
          <w:szCs w:val="28"/>
          <w:highlight w:val="none"/>
          <w:lang w:val="en-US" w:eastAsia="zh-CN"/>
        </w:rPr>
        <w:t>或</w:t>
      </w:r>
      <w:r>
        <w:rPr>
          <w:rFonts w:hint="eastAsia" w:ascii="仿宋" w:hAnsi="仿宋" w:eastAsia="仿宋"/>
          <w:color w:val="auto"/>
          <w:sz w:val="24"/>
          <w:szCs w:val="28"/>
          <w:highlight w:val="none"/>
        </w:rPr>
        <w:t>签字确认</w:t>
      </w:r>
      <w:r>
        <w:rPr>
          <w:rFonts w:hint="eastAsia" w:ascii="仿宋" w:hAnsi="仿宋" w:eastAsia="仿宋"/>
          <w:color w:val="auto"/>
          <w:sz w:val="24"/>
          <w:szCs w:val="28"/>
          <w:highlight w:val="none"/>
          <w:lang w:val="en-US" w:eastAsia="zh-CN"/>
        </w:rPr>
        <w:t>（盖章包括：</w:t>
      </w:r>
      <w:r>
        <w:rPr>
          <w:rFonts w:hint="eastAsia" w:ascii="仿宋" w:hAnsi="仿宋" w:eastAsia="仿宋"/>
          <w:color w:val="auto"/>
          <w:sz w:val="24"/>
          <w:szCs w:val="28"/>
          <w:highlight w:val="none"/>
        </w:rPr>
        <w:t>公章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合同专用章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rPr>
        <w:t>财务专用章</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签字包括：本项目有关负责人</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Hans"/>
        </w:rPr>
        <w:t>财务人员</w:t>
      </w:r>
      <w:r>
        <w:rPr>
          <w:rFonts w:hint="eastAsia" w:ascii="仿宋" w:hAnsi="仿宋" w:eastAsia="仿宋"/>
          <w:color w:val="auto"/>
          <w:sz w:val="24"/>
          <w:szCs w:val="28"/>
          <w:highlight w:val="none"/>
          <w:lang w:val="en-US" w:eastAsia="zh-CN"/>
        </w:rPr>
        <w:t>、本项目授权人</w:t>
      </w:r>
      <w:r>
        <w:rPr>
          <w:rFonts w:hint="eastAsia" w:ascii="仿宋" w:hAnsi="仿宋" w:eastAsia="仿宋"/>
          <w:color w:val="auto"/>
          <w:sz w:val="24"/>
          <w:szCs w:val="28"/>
          <w:highlight w:val="none"/>
        </w:rPr>
        <w:t>签字</w:t>
      </w:r>
      <w:r>
        <w:rPr>
          <w:rFonts w:hint="eastAsia" w:ascii="仿宋" w:hAnsi="仿宋" w:eastAsia="仿宋"/>
          <w:color w:val="auto"/>
          <w:sz w:val="24"/>
          <w:szCs w:val="28"/>
          <w:highlight w:val="none"/>
          <w:lang w:val="en-US" w:eastAsia="zh-Hans"/>
        </w:rPr>
        <w:t>等</w:t>
      </w:r>
      <w:r>
        <w:rPr>
          <w:rFonts w:hint="eastAsia" w:ascii="仿宋" w:hAnsi="仿宋" w:eastAsia="仿宋"/>
          <w:color w:val="auto"/>
          <w:sz w:val="24"/>
          <w:szCs w:val="28"/>
          <w:highlight w:val="none"/>
        </w:rPr>
        <w:t>）。甲方于最迟每月8日前完成乙方报送结算金额的审定；若甲方在前述约定日期内未通知乙方审定结果，视为甲方认可乙方</w:t>
      </w:r>
      <w:r>
        <w:rPr>
          <w:rFonts w:hint="eastAsia" w:ascii="仿宋" w:hAnsi="仿宋" w:eastAsia="仿宋"/>
          <w:color w:val="auto"/>
          <w:sz w:val="24"/>
          <w:szCs w:val="28"/>
          <w:highlight w:val="none"/>
          <w:lang w:val="en-US" w:eastAsia="zh-CN"/>
        </w:rPr>
        <w:t>提供</w:t>
      </w:r>
      <w:r>
        <w:rPr>
          <w:rFonts w:hint="eastAsia" w:ascii="仿宋" w:hAnsi="仿宋" w:eastAsia="仿宋"/>
          <w:color w:val="auto"/>
          <w:sz w:val="24"/>
          <w:szCs w:val="28"/>
          <w:highlight w:val="none"/>
        </w:rPr>
        <w:t>《项目成功销售确认单》</w:t>
      </w:r>
      <w:r>
        <w:rPr>
          <w:rFonts w:hint="eastAsia" w:ascii="仿宋" w:hAnsi="仿宋" w:eastAsia="仿宋"/>
          <w:color w:val="auto"/>
          <w:sz w:val="24"/>
          <w:szCs w:val="28"/>
          <w:highlight w:val="none"/>
          <w:lang w:val="en-US" w:eastAsia="zh-CN"/>
        </w:rPr>
        <w:t>交易额</w:t>
      </w:r>
      <w:r>
        <w:rPr>
          <w:rFonts w:hint="eastAsia" w:ascii="仿宋" w:hAnsi="仿宋" w:eastAsia="仿宋"/>
          <w:color w:val="auto"/>
          <w:sz w:val="24"/>
          <w:szCs w:val="28"/>
          <w:highlight w:val="none"/>
        </w:rPr>
        <w:t>结算</w:t>
      </w:r>
      <w:r>
        <w:rPr>
          <w:rFonts w:hint="eastAsia" w:ascii="仿宋" w:hAnsi="仿宋" w:eastAsia="仿宋"/>
          <w:color w:val="auto"/>
          <w:sz w:val="24"/>
          <w:szCs w:val="28"/>
          <w:highlight w:val="none"/>
          <w:lang w:val="en-US" w:eastAsia="zh-CN"/>
        </w:rPr>
        <w:t>服务费</w:t>
      </w:r>
      <w:r>
        <w:rPr>
          <w:rFonts w:hint="eastAsia" w:ascii="仿宋" w:hAnsi="仿宋" w:eastAsia="仿宋"/>
          <w:color w:val="auto"/>
          <w:sz w:val="24"/>
          <w:szCs w:val="28"/>
          <w:highlight w:val="none"/>
          <w:lang w:eastAsia="zh-CN"/>
        </w:rPr>
        <w:t>。</w:t>
      </w:r>
    </w:p>
    <w:p w14:paraId="29375ED7">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3）</w:t>
      </w:r>
      <w:r>
        <w:rPr>
          <w:rFonts w:hint="eastAsia" w:ascii="仿宋" w:hAnsi="仿宋" w:eastAsia="仿宋"/>
          <w:color w:val="auto"/>
          <w:sz w:val="24"/>
          <w:szCs w:val="28"/>
          <w:highlight w:val="none"/>
        </w:rPr>
        <w:t>甲方于每月20日前向乙方付清应付之服务费，每次付款</w:t>
      </w:r>
      <w:r>
        <w:rPr>
          <w:rFonts w:hint="default" w:ascii="仿宋" w:hAnsi="仿宋" w:eastAsia="仿宋"/>
          <w:color w:val="auto"/>
          <w:sz w:val="24"/>
          <w:szCs w:val="28"/>
          <w:highlight w:val="none"/>
          <w:lang w:val="en-US"/>
        </w:rPr>
        <w:t>前乙方向甲方开具合法有效的发票</w:t>
      </w:r>
      <w:r>
        <w:rPr>
          <w:rFonts w:hint="eastAsia" w:ascii="仿宋" w:hAnsi="仿宋" w:eastAsia="仿宋"/>
          <w:color w:val="auto"/>
          <w:sz w:val="24"/>
          <w:szCs w:val="28"/>
          <w:highlight w:val="none"/>
          <w:lang w:val="en-US" w:eastAsia="zh-CN"/>
        </w:rPr>
        <w:t>，乙方按照合同约定向甲方开具增值税专用发票的3日内，甲方应当按照发票金额支付等额款项（服务费），但乙方开具了发票并不代表已经实际收取了款项，仍应以甲方指定账号实际收款金额为准。自甲方收取了发票（并实际办理了进项抵扣）的3日内甲方仍未足额支付款项的，应当按照未付款项的每日万分之五支付迟延付款违约金，直至足额支付日止，且</w:t>
      </w:r>
      <w:r>
        <w:rPr>
          <w:rFonts w:hint="eastAsia" w:ascii="仿宋" w:hAnsi="仿宋" w:eastAsia="仿宋"/>
          <w:color w:val="auto"/>
          <w:sz w:val="24"/>
          <w:highlight w:val="none"/>
        </w:rPr>
        <w:t>乙方有权暂停或中止</w:t>
      </w:r>
      <w:r>
        <w:rPr>
          <w:rFonts w:hint="eastAsia" w:ascii="仿宋" w:hAnsi="仿宋" w:eastAsia="仿宋"/>
          <w:color w:val="auto"/>
          <w:sz w:val="24"/>
          <w:highlight w:val="none"/>
          <w:lang w:val="en-US" w:eastAsia="zh-CN"/>
        </w:rPr>
        <w:t>开具发票</w:t>
      </w:r>
      <w:r>
        <w:rPr>
          <w:rFonts w:hint="eastAsia" w:ascii="仿宋" w:hAnsi="仿宋" w:eastAsia="仿宋"/>
          <w:color w:val="auto"/>
          <w:sz w:val="24"/>
          <w:highlight w:val="none"/>
        </w:rPr>
        <w:t>并不视为乙方违约</w:t>
      </w:r>
      <w:r>
        <w:rPr>
          <w:rFonts w:hint="eastAsia" w:ascii="仿宋" w:hAnsi="仿宋" w:eastAsia="仿宋"/>
          <w:color w:val="auto"/>
          <w:sz w:val="24"/>
          <w:szCs w:val="28"/>
          <w:highlight w:val="none"/>
          <w:lang w:val="en-US" w:eastAsia="zh-CN"/>
        </w:rPr>
        <w:t>。</w:t>
      </w:r>
      <w:r>
        <w:rPr>
          <w:rFonts w:hint="eastAsia" w:ascii="仿宋" w:hAnsi="仿宋" w:eastAsia="仿宋"/>
          <w:color w:val="auto"/>
          <w:sz w:val="24"/>
          <w:szCs w:val="28"/>
          <w:highlight w:val="none"/>
        </w:rPr>
        <w:t>若因乙方未能及时向甲方提供等额发票，造成甲方未能在约定时间支付</w:t>
      </w:r>
      <w:r>
        <w:rPr>
          <w:rFonts w:hint="eastAsia" w:ascii="仿宋" w:hAnsi="仿宋" w:eastAsia="仿宋"/>
          <w:color w:val="auto"/>
          <w:sz w:val="24"/>
          <w:szCs w:val="28"/>
          <w:highlight w:val="none"/>
          <w:lang w:val="en-US" w:eastAsia="zh-CN"/>
        </w:rPr>
        <w:t>款项</w:t>
      </w:r>
      <w:r>
        <w:rPr>
          <w:rFonts w:hint="eastAsia" w:ascii="仿宋" w:hAnsi="仿宋" w:eastAsia="仿宋"/>
          <w:color w:val="auto"/>
          <w:sz w:val="24"/>
          <w:szCs w:val="28"/>
          <w:highlight w:val="none"/>
        </w:rPr>
        <w:t>的，甲方付款期限可相应顺延，</w:t>
      </w:r>
      <w:r>
        <w:rPr>
          <w:rFonts w:hint="eastAsia" w:ascii="仿宋" w:hAnsi="仿宋" w:eastAsia="仿宋"/>
          <w:color w:val="auto"/>
          <w:sz w:val="24"/>
          <w:szCs w:val="28"/>
          <w:highlight w:val="none"/>
          <w:lang w:val="en-US" w:eastAsia="zh-CN"/>
        </w:rPr>
        <w:t>但并不能成为甲方不履行支付相应款项的抗辩理由。</w:t>
      </w:r>
      <w:r>
        <w:rPr>
          <w:rFonts w:hint="eastAsia" w:ascii="仿宋" w:hAnsi="仿宋" w:eastAsia="仿宋"/>
          <w:color w:val="auto"/>
          <w:sz w:val="24"/>
          <w:highlight w:val="none"/>
        </w:rPr>
        <w:t>甲方逾期支付服务费超过30日的，乙方还有权无责解除本合同，甲方应在合同解除后7个工作日内一次性结清本合同发生的全部服务费给乙方</w:t>
      </w:r>
      <w:r>
        <w:rPr>
          <w:rFonts w:ascii="仿宋" w:hAnsi="仿宋" w:eastAsia="仿宋"/>
          <w:color w:val="auto"/>
          <w:sz w:val="24"/>
          <w:highlight w:val="none"/>
        </w:rPr>
        <w:t>。</w:t>
      </w:r>
    </w:p>
    <w:p w14:paraId="157B731B">
      <w:pPr>
        <w:adjustRightInd w:val="0"/>
        <w:snapToGrid w:val="0"/>
        <w:rPr>
          <w:rFonts w:hint="eastAsia" w:ascii="仿宋" w:hAnsi="仿宋" w:eastAsia="仿宋"/>
          <w:color w:val="auto"/>
          <w:sz w:val="24"/>
          <w:highlight w:val="none"/>
        </w:rPr>
      </w:pPr>
      <w:r>
        <w:rPr>
          <w:rFonts w:hint="eastAsia" w:ascii="仿宋" w:hAnsi="仿宋" w:eastAsia="仿宋"/>
          <w:color w:val="auto"/>
          <w:sz w:val="24"/>
          <w:highlight w:val="none"/>
        </w:rPr>
        <w:t>（4）支付方式为银行转账，甲、乙方的银行信息为：</w:t>
      </w:r>
    </w:p>
    <w:p w14:paraId="58C36C8B">
      <w:pPr>
        <w:adjustRightInd w:val="0"/>
        <w:snapToGrid w:val="0"/>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甲方全称：【新疆元盛美华房地产开发有限责任公司】</w:t>
      </w:r>
    </w:p>
    <w:p w14:paraId="1A6F1EF2">
      <w:pPr>
        <w:adjustRightInd w:val="0"/>
        <w:snapToGrid w:val="0"/>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甲方纳税人识别号：【91650100MA78JCYH9J】</w:t>
      </w:r>
    </w:p>
    <w:p w14:paraId="16A6D7C6">
      <w:pPr>
        <w:adjustRightInd w:val="0"/>
        <w:snapToGrid w:val="0"/>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甲方开户行：【新疆天山农村商业银行股份有限公司长春路支行】</w:t>
      </w:r>
    </w:p>
    <w:p w14:paraId="6ACDAF13">
      <w:pPr>
        <w:adjustRightInd w:val="0"/>
        <w:snapToGrid w:val="0"/>
        <w:ind w:firstLine="720" w:firstLineChars="300"/>
        <w:rPr>
          <w:rFonts w:ascii="仿宋" w:hAnsi="仿宋" w:eastAsia="仿宋"/>
          <w:color w:val="auto"/>
          <w:sz w:val="24"/>
          <w:highlight w:val="none"/>
        </w:rPr>
      </w:pPr>
      <w:r>
        <w:rPr>
          <w:rFonts w:hint="eastAsia" w:ascii="仿宋" w:hAnsi="仿宋" w:eastAsia="仿宋"/>
          <w:color w:val="auto"/>
          <w:sz w:val="24"/>
          <w:highlight w:val="none"/>
        </w:rPr>
        <w:t>甲方开户行账号：【802 021 312 010 101 191 171】</w:t>
      </w:r>
    </w:p>
    <w:p w14:paraId="208F007E">
      <w:pPr>
        <w:adjustRightInd w:val="0"/>
        <w:snapToGrid w:val="0"/>
        <w:ind w:firstLine="480" w:firstLineChars="200"/>
        <w:rPr>
          <w:rFonts w:hint="eastAsia" w:ascii="仿宋" w:hAnsi="仿宋" w:eastAsia="仿宋"/>
          <w:color w:val="auto"/>
          <w:sz w:val="24"/>
          <w:highlight w:val="none"/>
        </w:rPr>
      </w:pPr>
    </w:p>
    <w:p w14:paraId="3F5EE30D">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乙方全称：【</w:t>
      </w:r>
      <w:r>
        <w:rPr>
          <w:rFonts w:hint="eastAsia" w:ascii="仿宋" w:hAnsi="仿宋" w:eastAsia="仿宋" w:cs="仿宋"/>
          <w:sz w:val="24"/>
          <w:szCs w:val="24"/>
        </w:rPr>
        <w:t>新疆贝森房地产经纪有限公司</w:t>
      </w:r>
      <w:r>
        <w:rPr>
          <w:rFonts w:hint="eastAsia" w:ascii="仿宋" w:hAnsi="仿宋" w:eastAsia="仿宋"/>
          <w:color w:val="auto"/>
          <w:sz w:val="24"/>
          <w:highlight w:val="none"/>
        </w:rPr>
        <w:t>】</w:t>
      </w:r>
    </w:p>
    <w:p w14:paraId="2B40606E">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账号： 【</w:t>
      </w:r>
      <w:r>
        <w:rPr>
          <w:rFonts w:hint="eastAsia" w:ascii="仿宋" w:hAnsi="仿宋" w:eastAsia="仿宋" w:cs="仿宋"/>
          <w:sz w:val="24"/>
          <w:szCs w:val="24"/>
        </w:rPr>
        <w:t>649</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189</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070</w:t>
      </w:r>
      <w:r>
        <w:rPr>
          <w:rFonts w:hint="eastAsia" w:ascii="仿宋" w:hAnsi="仿宋" w:eastAsia="仿宋"/>
          <w:color w:val="auto"/>
          <w:sz w:val="24"/>
          <w:highlight w:val="none"/>
        </w:rPr>
        <w:t>】</w:t>
      </w:r>
    </w:p>
    <w:p w14:paraId="2873936D">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开户行：【</w:t>
      </w:r>
      <w:r>
        <w:rPr>
          <w:rFonts w:hint="eastAsia" w:ascii="仿宋" w:hAnsi="仿宋" w:eastAsia="仿宋" w:cs="仿宋"/>
          <w:sz w:val="24"/>
          <w:szCs w:val="24"/>
        </w:rPr>
        <w:t>中国民生银行股份有限公司乌鲁木齐南湖路支行</w:t>
      </w:r>
      <w:r>
        <w:rPr>
          <w:rFonts w:hint="eastAsia" w:ascii="仿宋" w:hAnsi="仿宋" w:eastAsia="仿宋"/>
          <w:color w:val="auto"/>
          <w:sz w:val="24"/>
          <w:highlight w:val="none"/>
        </w:rPr>
        <w:t>】</w:t>
      </w:r>
    </w:p>
    <w:p w14:paraId="738B21E4">
      <w:pPr>
        <w:adjustRightInd w:val="0"/>
        <w:snapToGrid w:val="0"/>
        <w:rPr>
          <w:rFonts w:ascii="仿宋" w:hAnsi="仿宋" w:eastAsia="仿宋"/>
          <w:b/>
          <w:color w:val="auto"/>
          <w:sz w:val="24"/>
          <w:highlight w:val="none"/>
        </w:rPr>
      </w:pPr>
    </w:p>
    <w:p w14:paraId="61ACF6E4">
      <w:pPr>
        <w:numPr>
          <w:ilvl w:val="0"/>
          <w:numId w:val="2"/>
        </w:numPr>
        <w:adjustRightInd w:val="0"/>
        <w:snapToGrid w:val="0"/>
        <w:ind w:left="40" w:leftChars="19" w:firstLine="480" w:firstLineChars="200"/>
        <w:rPr>
          <w:rFonts w:hint="default" w:ascii="仿宋" w:hAnsi="仿宋" w:eastAsia="仿宋"/>
          <w:color w:val="auto"/>
          <w:sz w:val="24"/>
          <w:highlight w:val="none"/>
          <w:lang w:val="en-US" w:eastAsia="zh-Hans"/>
        </w:rPr>
      </w:pPr>
      <w:r>
        <w:rPr>
          <w:rFonts w:hint="eastAsia" w:ascii="仿宋" w:hAnsi="仿宋" w:eastAsia="仿宋"/>
          <w:color w:val="auto"/>
          <w:sz w:val="24"/>
          <w:highlight w:val="none"/>
        </w:rPr>
        <w:t>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lang w:val="en-US" w:eastAsia="zh-CN"/>
        </w:rPr>
        <w:t>解除/</w:t>
      </w:r>
      <w:r>
        <w:rPr>
          <w:rFonts w:hint="eastAsia" w:ascii="仿宋" w:hAnsi="仿宋" w:eastAsia="仿宋"/>
          <w:color w:val="auto"/>
          <w:sz w:val="24"/>
          <w:highlight w:val="none"/>
        </w:rPr>
        <w:t>终止后90日内，</w:t>
      </w:r>
      <w:r>
        <w:rPr>
          <w:rFonts w:hint="eastAsia" w:ascii="仿宋" w:hAnsi="仿宋" w:eastAsia="仿宋"/>
          <w:color w:val="auto"/>
          <w:sz w:val="24"/>
          <w:highlight w:val="none"/>
          <w:lang w:eastAsia="zh-CN"/>
        </w:rPr>
        <w:t>确因乙方原因（例如乙方虚假承诺）导致客户退房的（退房是指客户与甲方解除、终止、撤销《商品房买卖合同》，下同），</w:t>
      </w:r>
      <w:r>
        <w:rPr>
          <w:rFonts w:hint="eastAsia" w:ascii="仿宋" w:hAnsi="仿宋" w:eastAsia="仿宋"/>
          <w:color w:val="auto"/>
          <w:sz w:val="24"/>
          <w:highlight w:val="none"/>
        </w:rPr>
        <w:t>甲方须在</w:t>
      </w:r>
      <w:r>
        <w:rPr>
          <w:rFonts w:hint="eastAsia" w:ascii="仿宋" w:hAnsi="仿宋" w:eastAsia="仿宋"/>
          <w:color w:val="auto"/>
          <w:sz w:val="24"/>
          <w:highlight w:val="none"/>
          <w:lang w:val="en-US" w:eastAsia="zh-CN"/>
        </w:rPr>
        <w:t>退房</w:t>
      </w:r>
      <w:r>
        <w:rPr>
          <w:rFonts w:hint="eastAsia" w:ascii="仿宋" w:hAnsi="仿宋" w:eastAsia="仿宋"/>
          <w:color w:val="auto"/>
          <w:sz w:val="24"/>
          <w:highlight w:val="none"/>
        </w:rPr>
        <w:t>后的3个工作日内将解约文书、退款凭证等退房证明文件发至乙方确认，并书面通知乙方退还该房屋已经支付的服务费，乙方在收到书面解约证明及书面通知并确认无异议后，</w:t>
      </w:r>
      <w:r>
        <w:rPr>
          <w:rFonts w:hint="eastAsia" w:ascii="仿宋" w:hAnsi="仿宋" w:eastAsia="仿宋"/>
          <w:color w:val="auto"/>
          <w:sz w:val="24"/>
          <w:highlight w:val="none"/>
          <w:lang w:eastAsia="zh-CN"/>
        </w:rPr>
        <w:t>乙方应将所退房源对应佣金在甲乙双方确认后</w:t>
      </w:r>
      <w:r>
        <w:rPr>
          <w:rFonts w:hint="eastAsia" w:ascii="仿宋" w:hAnsi="仿宋" w:eastAsia="仿宋"/>
          <w:color w:val="auto"/>
          <w:sz w:val="24"/>
          <w:highlight w:val="none"/>
          <w:lang w:val="en-US" w:eastAsia="zh-CN"/>
        </w:rPr>
        <w:t>15</w:t>
      </w:r>
      <w:r>
        <w:rPr>
          <w:rFonts w:hint="eastAsia" w:ascii="仿宋" w:hAnsi="仿宋" w:eastAsia="仿宋"/>
          <w:color w:val="auto"/>
          <w:sz w:val="24"/>
          <w:highlight w:val="none"/>
          <w:lang w:eastAsia="zh-CN"/>
        </w:rPr>
        <w:t>个工作日内退还给甲方</w:t>
      </w:r>
      <w:r>
        <w:rPr>
          <w:rFonts w:hint="eastAsia" w:ascii="仿宋" w:hAnsi="仿宋" w:eastAsia="仿宋"/>
          <w:color w:val="auto"/>
          <w:sz w:val="24"/>
          <w:highlight w:val="none"/>
          <w:lang w:val="en-US" w:eastAsia="zh-CN"/>
        </w:rPr>
        <w:t>或乙方同意后甲方从后续佣金中等额扣除</w:t>
      </w:r>
      <w:r>
        <w:rPr>
          <w:rFonts w:hint="eastAsia" w:ascii="仿宋" w:hAnsi="仿宋" w:eastAsia="仿宋"/>
          <w:color w:val="auto"/>
          <w:sz w:val="24"/>
          <w:highlight w:val="none"/>
          <w:lang w:eastAsia="zh-CN"/>
        </w:rPr>
        <w:t>。若因客户自身原因、甲方原因（包括但不限于甲方不能如期交房、项目存在合规问题、项目烂尾等）、政府原因（包括但不限于政府规划变更、政策调整等）等非乙方原因导致退房情形发生的，乙方无需退还甲方所退房源之佣金，若甲方尚未支付全部佣金的，仍应继续支付完毕，</w:t>
      </w:r>
      <w:r>
        <w:rPr>
          <w:rFonts w:hint="eastAsia" w:ascii="仿宋" w:hAnsi="仿宋" w:eastAsia="仿宋"/>
          <w:color w:val="auto"/>
          <w:sz w:val="24"/>
          <w:highlight w:val="none"/>
          <w:lang w:val="en-US" w:eastAsia="zh-CN"/>
        </w:rPr>
        <w:t>且该房源仍计入任务考核跳点中，甲方仍应按跳点后的服务费点位标准结算佣金</w:t>
      </w:r>
      <w:r>
        <w:rPr>
          <w:rFonts w:hint="eastAsia" w:ascii="仿宋" w:hAnsi="仿宋" w:eastAsia="仿宋"/>
          <w:color w:val="auto"/>
          <w:sz w:val="24"/>
          <w:highlight w:val="none"/>
          <w:lang w:eastAsia="zh-CN"/>
        </w:rPr>
        <w:t>。</w:t>
      </w:r>
    </w:p>
    <w:p w14:paraId="613343FA">
      <w:pPr>
        <w:numPr>
          <w:ilvl w:val="-1"/>
          <w:numId w:val="0"/>
        </w:numPr>
        <w:adjustRightInd w:val="0"/>
        <w:snapToGrid w:val="0"/>
        <w:ind w:left="0" w:leftChars="0" w:firstLine="0" w:firstLineChars="0"/>
        <w:rPr>
          <w:rFonts w:hint="eastAsia" w:ascii="仿宋" w:hAnsi="仿宋" w:eastAsia="仿宋"/>
          <w:color w:val="auto"/>
          <w:sz w:val="24"/>
          <w:highlight w:val="none"/>
        </w:rPr>
      </w:pPr>
      <w:r>
        <w:rPr>
          <w:rFonts w:hint="eastAsia" w:ascii="仿宋" w:hAnsi="仿宋" w:eastAsia="仿宋"/>
          <w:color w:val="auto"/>
          <w:sz w:val="24"/>
          <w:highlight w:val="none"/>
        </w:rPr>
        <w:t>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lang w:val="en-US" w:eastAsia="zh-CN"/>
        </w:rPr>
        <w:t>解除/</w:t>
      </w:r>
      <w:r>
        <w:rPr>
          <w:rFonts w:hint="eastAsia" w:ascii="仿宋" w:hAnsi="仿宋" w:eastAsia="仿宋"/>
          <w:color w:val="auto"/>
          <w:sz w:val="24"/>
          <w:highlight w:val="none"/>
        </w:rPr>
        <w:t>终止后90日</w:t>
      </w:r>
      <w:r>
        <w:rPr>
          <w:rFonts w:hint="eastAsia" w:ascii="仿宋" w:hAnsi="仿宋" w:eastAsia="仿宋"/>
          <w:color w:val="auto"/>
          <w:sz w:val="24"/>
          <w:highlight w:val="none"/>
          <w:lang w:val="en-US" w:eastAsia="zh-CN"/>
        </w:rPr>
        <w:t>后任何原因退房的，不影响甲方应计付佣金给乙方的义务，已付的乙方不退还。</w:t>
      </w:r>
    </w:p>
    <w:p w14:paraId="40334727">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4.如发生乙方向甲方退还服务费的情况，如果乙方已就该</w:t>
      </w:r>
      <w:r>
        <w:rPr>
          <w:rFonts w:hint="eastAsia" w:ascii="仿宋" w:hAnsi="仿宋" w:eastAsia="仿宋"/>
          <w:color w:val="auto"/>
          <w:sz w:val="24"/>
          <w:highlight w:val="none"/>
          <w:lang w:val="en-US" w:eastAsia="zh-CN"/>
        </w:rPr>
        <w:t>服务费</w:t>
      </w:r>
      <w:r>
        <w:rPr>
          <w:rFonts w:hint="eastAsia" w:ascii="仿宋" w:hAnsi="仿宋" w:eastAsia="仿宋"/>
          <w:color w:val="auto"/>
          <w:sz w:val="24"/>
          <w:highlight w:val="none"/>
        </w:rPr>
        <w:t>向甲方开具过增值税发票，则甲方应先配合乙方开具红字发票，如因甲方的原因造成乙方无法开具红字发票，乙方有权不予退还该退房对应服务费。</w:t>
      </w:r>
    </w:p>
    <w:p w14:paraId="3E53B547">
      <w:pPr>
        <w:adjustRightInd w:val="0"/>
        <w:snapToGrid w:val="0"/>
        <w:ind w:left="0" w:leftChars="0" w:firstLine="480" w:firstLineChars="200"/>
        <w:rPr>
          <w:rFonts w:ascii="仿宋" w:hAnsi="仿宋" w:eastAsia="仿宋"/>
          <w:color w:val="auto"/>
          <w:sz w:val="24"/>
          <w:highlight w:val="none"/>
        </w:rPr>
      </w:pPr>
      <w:r>
        <w:rPr>
          <w:rFonts w:hint="eastAsia" w:ascii="仿宋" w:hAnsi="仿宋" w:eastAsia="仿宋"/>
          <w:color w:val="auto"/>
          <w:sz w:val="24"/>
          <w:highlight w:val="none"/>
        </w:rPr>
        <w:t>5.乙方推荐客户在本合同期结束（包括但不限于服务期限届满、本合同提前终止或解除，下同）后</w:t>
      </w:r>
      <w:r>
        <w:rPr>
          <w:rFonts w:hint="eastAsia" w:ascii="仿宋" w:hAnsi="仿宋" w:eastAsia="仿宋"/>
          <w:color w:val="auto"/>
          <w:sz w:val="24"/>
          <w:szCs w:val="28"/>
          <w:highlight w:val="none"/>
          <w:lang w:val="en-US" w:eastAsia="zh-Hans"/>
        </w:rPr>
        <w:t>才</w:t>
      </w:r>
      <w:r>
        <w:rPr>
          <w:rFonts w:hint="eastAsia" w:ascii="仿宋" w:hAnsi="仿宋" w:eastAsia="仿宋"/>
          <w:color w:val="auto"/>
          <w:sz w:val="24"/>
          <w:szCs w:val="28"/>
          <w:highlight w:val="none"/>
        </w:rPr>
        <w:t>与甲方签署《商品房买卖合同》且客户（按揭客户/自付分期客户）完成首付款支付（</w:t>
      </w:r>
      <w:r>
        <w:rPr>
          <w:rFonts w:ascii="仿宋" w:hAnsi="仿宋" w:eastAsia="仿宋"/>
          <w:color w:val="auto"/>
          <w:sz w:val="24"/>
          <w:szCs w:val="28"/>
          <w:highlight w:val="none"/>
        </w:rPr>
        <w:t>一次性客户支付首笔款或以上</w:t>
      </w:r>
      <w:r>
        <w:rPr>
          <w:rFonts w:hint="eastAsia" w:ascii="仿宋" w:hAnsi="仿宋" w:eastAsia="仿宋"/>
          <w:color w:val="auto"/>
          <w:sz w:val="24"/>
          <w:szCs w:val="28"/>
          <w:highlight w:val="none"/>
        </w:rPr>
        <w:t>）</w:t>
      </w:r>
      <w:r>
        <w:rPr>
          <w:rFonts w:hint="eastAsia" w:ascii="仿宋" w:hAnsi="仿宋" w:eastAsia="仿宋"/>
          <w:color w:val="auto"/>
          <w:sz w:val="24"/>
          <w:szCs w:val="28"/>
          <w:highlight w:val="none"/>
          <w:lang w:val="en-US" w:eastAsia="zh-Hans"/>
        </w:rPr>
        <w:t>的</w:t>
      </w:r>
      <w:r>
        <w:rPr>
          <w:rFonts w:hint="eastAsia" w:ascii="仿宋" w:hAnsi="仿宋" w:eastAsia="仿宋"/>
          <w:color w:val="auto"/>
          <w:sz w:val="24"/>
          <w:szCs w:val="28"/>
          <w:highlight w:val="none"/>
        </w:rPr>
        <w:t>，</w:t>
      </w:r>
      <w:r>
        <w:rPr>
          <w:rFonts w:hint="eastAsia" w:ascii="仿宋" w:hAnsi="仿宋" w:eastAsia="仿宋"/>
          <w:color w:val="auto"/>
          <w:sz w:val="24"/>
          <w:szCs w:val="28"/>
          <w:highlight w:val="none"/>
          <w:lang w:val="en-US" w:eastAsia="zh-Hans"/>
        </w:rPr>
        <w:t>甲方应当按照本条约定的</w:t>
      </w:r>
      <w:r>
        <w:rPr>
          <w:rFonts w:hint="eastAsia" w:ascii="仿宋" w:hAnsi="仿宋" w:eastAsia="仿宋"/>
          <w:color w:val="auto"/>
          <w:sz w:val="24"/>
          <w:highlight w:val="none"/>
        </w:rPr>
        <w:t>服务费（即佣金）结算标准</w:t>
      </w:r>
      <w:r>
        <w:rPr>
          <w:rFonts w:hint="eastAsia" w:ascii="仿宋" w:hAnsi="仿宋" w:eastAsia="仿宋"/>
          <w:color w:val="auto"/>
          <w:sz w:val="24"/>
          <w:highlight w:val="none"/>
          <w:lang w:val="en-US" w:eastAsia="zh-Hans"/>
        </w:rPr>
        <w:t>及结算方式</w:t>
      </w:r>
      <w:r>
        <w:rPr>
          <w:rFonts w:hint="eastAsia" w:ascii="仿宋" w:hAnsi="仿宋" w:eastAsia="仿宋"/>
          <w:color w:val="auto"/>
          <w:sz w:val="24"/>
          <w:highlight w:val="none"/>
          <w:lang w:val="en-US" w:eastAsia="zh-CN"/>
        </w:rPr>
        <w:t>，</w:t>
      </w:r>
      <w:r>
        <w:rPr>
          <w:rFonts w:hint="eastAsia" w:ascii="仿宋" w:hAnsi="仿宋" w:eastAsia="仿宋"/>
          <w:color w:val="auto"/>
          <w:sz w:val="24"/>
          <w:highlight w:val="none"/>
        </w:rPr>
        <w:t>甲方仍</w:t>
      </w:r>
      <w:r>
        <w:rPr>
          <w:rFonts w:hint="eastAsia" w:ascii="仿宋" w:hAnsi="仿宋" w:eastAsia="仿宋"/>
          <w:color w:val="auto"/>
          <w:sz w:val="24"/>
          <w:highlight w:val="none"/>
          <w:lang w:val="en-US" w:eastAsia="zh-CN"/>
        </w:rPr>
        <w:t>应</w:t>
      </w:r>
      <w:r>
        <w:rPr>
          <w:rFonts w:hint="eastAsia" w:ascii="仿宋" w:hAnsi="仿宋" w:eastAsia="仿宋"/>
          <w:color w:val="auto"/>
          <w:sz w:val="24"/>
          <w:highlight w:val="none"/>
        </w:rPr>
        <w:t>按本合同约定向乙方支付全额服务费</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后续相关销售服务应由甲方人员跟进。</w:t>
      </w:r>
    </w:p>
    <w:p w14:paraId="2FAF2E3E">
      <w:pPr>
        <w:numPr>
          <w:ilvl w:val="0"/>
          <w:numId w:val="0"/>
        </w:numPr>
        <w:adjustRightInd w:val="0"/>
        <w:snapToGrid w:val="0"/>
        <w:ind w:left="0" w:leftChars="0" w:firstLine="480" w:firstLineChars="200"/>
        <w:rPr>
          <w:rFonts w:hint="eastAsia" w:ascii="仿宋" w:hAnsi="仿宋" w:eastAsia="仿宋"/>
          <w:b/>
          <w:color w:val="auto"/>
          <w:sz w:val="24"/>
          <w:highlight w:val="none"/>
        </w:rPr>
      </w:pPr>
      <w:r>
        <w:rPr>
          <w:rFonts w:hint="default" w:ascii="仿宋" w:hAnsi="仿宋" w:eastAsia="仿宋"/>
          <w:color w:val="auto"/>
          <w:sz w:val="24"/>
          <w:highlight w:val="none"/>
          <w:lang w:eastAsia="zh-CN"/>
        </w:rPr>
        <w:t>6</w:t>
      </w:r>
      <w:r>
        <w:rPr>
          <w:rFonts w:hint="eastAsia" w:ascii="仿宋" w:hAnsi="仿宋" w:eastAsia="仿宋"/>
          <w:color w:val="auto"/>
          <w:sz w:val="24"/>
          <w:highlight w:val="none"/>
          <w:lang w:val="en-US" w:eastAsia="zh-Hans"/>
        </w:rPr>
        <w:t>.</w:t>
      </w:r>
      <w:r>
        <w:rPr>
          <w:rFonts w:hint="eastAsia" w:ascii="仿宋" w:hAnsi="仿宋" w:eastAsia="仿宋"/>
          <w:color w:val="auto"/>
          <w:sz w:val="24"/>
          <w:highlight w:val="none"/>
          <w:lang w:eastAsia="zh-CN"/>
        </w:rPr>
        <w:t>因客户自身原因、甲方原因（包括但不限于甲方不能如期交房、项目存在合规问题、项目烂尾等）、政府原因（包括但不限于政府规划变更、政策调整等）等非乙方原因</w:t>
      </w:r>
      <w:r>
        <w:rPr>
          <w:rFonts w:hint="eastAsia" w:ascii="仿宋" w:hAnsi="仿宋" w:eastAsia="仿宋"/>
          <w:color w:val="auto"/>
          <w:sz w:val="24"/>
          <w:highlight w:val="none"/>
          <w:lang w:val="en-US" w:eastAsia="zh-Hans"/>
        </w:rPr>
        <w:t>导致的甲方与客户之间的纠纷与乙方无关</w:t>
      </w:r>
      <w:r>
        <w:rPr>
          <w:rFonts w:hint="default" w:ascii="仿宋" w:hAnsi="仿宋" w:eastAsia="仿宋"/>
          <w:color w:val="auto"/>
          <w:sz w:val="24"/>
          <w:highlight w:val="none"/>
          <w:lang w:eastAsia="zh-Hans"/>
        </w:rPr>
        <w:t>，</w:t>
      </w:r>
      <w:r>
        <w:rPr>
          <w:rFonts w:hint="eastAsia" w:ascii="仿宋" w:hAnsi="仿宋" w:eastAsia="仿宋"/>
          <w:color w:val="auto"/>
          <w:sz w:val="24"/>
          <w:highlight w:val="none"/>
          <w:lang w:val="en-US" w:eastAsia="zh-CN"/>
        </w:rPr>
        <w:t>不影响甲方应计付佣金给乙方的义务，已付服务费乙方不退还。</w:t>
      </w:r>
    </w:p>
    <w:p w14:paraId="5AEBCD9B">
      <w:pPr>
        <w:numPr>
          <w:ilvl w:val="0"/>
          <w:numId w:val="0"/>
        </w:numPr>
        <w:adjustRightInd w:val="0"/>
        <w:snapToGrid w:val="0"/>
        <w:ind w:left="0" w:leftChars="0"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第八条甲乙双方的权利和义务</w:t>
      </w:r>
    </w:p>
    <w:p w14:paraId="596BD960">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甲方的权利义务</w:t>
      </w:r>
    </w:p>
    <w:p w14:paraId="57129110">
      <w:pPr>
        <w:ind w:firstLine="600" w:firstLineChars="250"/>
        <w:rPr>
          <w:rFonts w:hint="default" w:eastAsia="仿宋"/>
          <w:color w:val="auto"/>
          <w:highlight w:val="none"/>
          <w:lang w:val="en-US" w:eastAsia="zh-CN"/>
        </w:rPr>
      </w:pPr>
      <w:r>
        <w:rPr>
          <w:rFonts w:hint="eastAsia" w:ascii="仿宋" w:hAnsi="仿宋" w:eastAsia="仿宋"/>
          <w:color w:val="auto"/>
          <w:sz w:val="24"/>
          <w:highlight w:val="none"/>
        </w:rPr>
        <w:t>（</w:t>
      </w:r>
      <w:r>
        <w:rPr>
          <w:rFonts w:ascii="仿宋" w:hAnsi="仿宋" w:eastAsia="仿宋"/>
          <w:color w:val="auto"/>
          <w:sz w:val="24"/>
          <w:highlight w:val="none"/>
        </w:rPr>
        <w:t>1</w:t>
      </w:r>
      <w:r>
        <w:rPr>
          <w:rFonts w:hint="eastAsia" w:ascii="仿宋" w:hAnsi="仿宋" w:eastAsia="仿宋"/>
          <w:color w:val="auto"/>
          <w:sz w:val="24"/>
          <w:highlight w:val="none"/>
        </w:rPr>
        <w:t>）向乙方提供该项目销售所需之法律批文（五证一照等）副本或复印件，并保证一切文件资料之合法性和真实性。房源权属状况清晰、合法，且未被出售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未被抵押</w:t>
      </w:r>
      <w:r>
        <w:rPr>
          <w:rFonts w:hint="eastAsia" w:ascii="仿宋" w:hAnsi="仿宋" w:eastAsia="仿宋"/>
          <w:color w:val="auto"/>
          <w:sz w:val="24"/>
          <w:highlight w:val="none"/>
        </w:rPr>
        <w:t>。若因甲方未取得该项目销售所需之法律审批之文件或文件造假导致乙方或乙方客户遭受损失的，甲方需向乙方赔偿所造成的损失。</w:t>
      </w:r>
      <w:r>
        <w:rPr>
          <w:rFonts w:hint="eastAsia" w:ascii="仿宋" w:hAnsi="仿宋" w:eastAsia="仿宋"/>
          <w:color w:val="auto"/>
          <w:sz w:val="24"/>
          <w:highlight w:val="none"/>
          <w:lang w:val="en-US" w:eastAsia="zh-CN"/>
        </w:rPr>
        <w:t>若因甲方提供的房源存在抵押等无法办理房屋过户等情形，客户追责，应当由甲方进行赔偿。</w:t>
      </w:r>
      <w:r>
        <w:rPr>
          <w:rFonts w:hint="eastAsia" w:ascii="仿宋" w:hAnsi="仿宋" w:eastAsia="仿宋"/>
          <w:color w:val="auto"/>
          <w:sz w:val="24"/>
          <w:highlight w:val="none"/>
        </w:rPr>
        <w:t>甲方确认，甲方通过乙方销售房源价格均价不高于同类房源通过其他渠道的对外市场均价。</w:t>
      </w:r>
    </w:p>
    <w:p w14:paraId="4D0BDE9F">
      <w:pPr>
        <w:adjustRightInd w:val="0"/>
        <w:snapToGrid w:val="0"/>
        <w:ind w:firstLine="480" w:firstLineChars="200"/>
        <w:rPr>
          <w:rFonts w:hint="eastAsia" w:ascii="仿宋" w:hAnsi="仿宋" w:eastAsia="仿宋"/>
          <w:color w:val="auto"/>
          <w:sz w:val="24"/>
          <w:szCs w:val="28"/>
          <w:highlight w:val="none"/>
          <w:lang w:val="en-US" w:eastAsia="zh-CN"/>
        </w:rPr>
      </w:pPr>
      <w:r>
        <w:rPr>
          <w:rFonts w:hint="eastAsia" w:ascii="仿宋" w:hAnsi="仿宋" w:eastAsia="仿宋"/>
          <w:color w:val="auto"/>
          <w:sz w:val="24"/>
          <w:highlight w:val="none"/>
        </w:rPr>
        <w:t>（</w:t>
      </w:r>
      <w:r>
        <w:rPr>
          <w:rFonts w:ascii="仿宋" w:hAnsi="仿宋" w:eastAsia="仿宋"/>
          <w:color w:val="auto"/>
          <w:sz w:val="24"/>
          <w:highlight w:val="none"/>
        </w:rPr>
        <w:t>2</w:t>
      </w:r>
      <w:r>
        <w:rPr>
          <w:rFonts w:hint="eastAsia" w:ascii="仿宋" w:hAnsi="仿宋" w:eastAsia="仿宋"/>
          <w:color w:val="auto"/>
          <w:sz w:val="24"/>
          <w:highlight w:val="none"/>
        </w:rPr>
        <w:t>）</w:t>
      </w:r>
      <w:r>
        <w:rPr>
          <w:rFonts w:hint="eastAsia" w:ascii="仿宋" w:hAnsi="仿宋" w:eastAsia="仿宋"/>
          <w:color w:val="auto"/>
          <w:sz w:val="24"/>
          <w:szCs w:val="28"/>
          <w:highlight w:val="none"/>
        </w:rPr>
        <w:t>甲方指定授权人1：</w:t>
      </w:r>
      <w:r>
        <w:rPr>
          <w:rFonts w:hint="eastAsia" w:ascii="仿宋" w:hAnsi="仿宋" w:eastAsia="仿宋"/>
          <w:color w:val="auto"/>
          <w:sz w:val="24"/>
          <w:szCs w:val="28"/>
          <w:highlight w:val="none"/>
          <w:u w:val="single"/>
          <w:lang w:val="en-US" w:eastAsia="zh-CN"/>
        </w:rPr>
        <w:t>袁豫</w:t>
      </w:r>
      <w:r>
        <w:rPr>
          <w:rFonts w:hint="eastAsia" w:ascii="仿宋" w:hAnsi="仿宋" w:eastAsia="仿宋"/>
          <w:color w:val="auto"/>
          <w:sz w:val="24"/>
          <w:szCs w:val="28"/>
          <w:highlight w:val="none"/>
          <w:u w:val="single"/>
        </w:rPr>
        <w:t>；</w:t>
      </w:r>
      <w:r>
        <w:rPr>
          <w:rFonts w:ascii="仿宋" w:hAnsi="仿宋" w:eastAsia="仿宋"/>
          <w:color w:val="auto"/>
          <w:sz w:val="24"/>
          <w:szCs w:val="28"/>
          <w:highlight w:val="none"/>
          <w:u w:val="single"/>
        </w:rPr>
        <w:t>电话</w:t>
      </w:r>
      <w:r>
        <w:rPr>
          <w:rFonts w:hint="eastAsia" w:ascii="仿宋" w:hAnsi="仿宋" w:eastAsia="仿宋"/>
          <w:color w:val="auto"/>
          <w:sz w:val="24"/>
          <w:szCs w:val="28"/>
          <w:highlight w:val="none"/>
          <w:u w:val="single"/>
        </w:rPr>
        <w:t>：</w:t>
      </w:r>
      <w:r>
        <w:rPr>
          <w:rFonts w:hint="eastAsia" w:ascii="仿宋" w:hAnsi="仿宋" w:eastAsia="仿宋"/>
          <w:color w:val="auto"/>
          <w:sz w:val="24"/>
          <w:szCs w:val="28"/>
          <w:highlight w:val="none"/>
          <w:u w:val="single"/>
          <w:lang w:val="en-US" w:eastAsia="zh-CN"/>
        </w:rPr>
        <w:t>17797822272</w:t>
      </w:r>
      <w:r>
        <w:rPr>
          <w:rFonts w:hint="eastAsia" w:ascii="仿宋" w:hAnsi="仿宋" w:eastAsia="仿宋"/>
          <w:color w:val="auto"/>
          <w:sz w:val="24"/>
          <w:szCs w:val="28"/>
          <w:highlight w:val="none"/>
          <w:u w:val="single"/>
        </w:rPr>
        <w:t xml:space="preserve"> ；身份证号：659001198704010912 ；邮箱：yuanyu198741@qq.com </w:t>
      </w:r>
      <w:r>
        <w:rPr>
          <w:rFonts w:hint="eastAsia" w:ascii="仿宋" w:hAnsi="仿宋" w:eastAsia="仿宋"/>
          <w:color w:val="auto"/>
          <w:sz w:val="24"/>
          <w:szCs w:val="28"/>
          <w:highlight w:val="none"/>
          <w:u w:val="single"/>
          <w:lang w:eastAsia="zh-CN"/>
        </w:rPr>
        <w:t>；</w:t>
      </w:r>
      <w:r>
        <w:rPr>
          <w:rFonts w:hint="eastAsia" w:ascii="仿宋" w:hAnsi="仿宋" w:eastAsia="仿宋"/>
          <w:color w:val="auto"/>
          <w:sz w:val="24"/>
          <w:szCs w:val="28"/>
          <w:highlight w:val="none"/>
          <w:u w:val="none"/>
          <w:lang w:val="en-US" w:eastAsia="zh-CN"/>
        </w:rPr>
        <w:t>职务：</w:t>
      </w:r>
      <w:r>
        <w:rPr>
          <w:rFonts w:hint="eastAsia" w:ascii="仿宋" w:hAnsi="仿宋" w:eastAsia="仿宋"/>
          <w:color w:val="auto"/>
          <w:sz w:val="24"/>
          <w:szCs w:val="28"/>
          <w:highlight w:val="none"/>
          <w:u w:val="single"/>
          <w:lang w:val="en-US" w:eastAsia="zh-CN"/>
        </w:rPr>
        <w:t xml:space="preserve"> 销售总监 </w:t>
      </w:r>
      <w:r>
        <w:rPr>
          <w:rFonts w:hint="eastAsia" w:ascii="仿宋" w:hAnsi="仿宋" w:eastAsia="仿宋"/>
          <w:color w:val="auto"/>
          <w:sz w:val="24"/>
          <w:szCs w:val="28"/>
          <w:highlight w:val="none"/>
        </w:rPr>
        <w:t>，或授权人2</w:t>
      </w:r>
      <w:r>
        <w:rPr>
          <w:rFonts w:hint="eastAsia" w:ascii="仿宋" w:hAnsi="仿宋" w:eastAsia="仿宋"/>
          <w:color w:val="auto"/>
          <w:sz w:val="24"/>
          <w:szCs w:val="28"/>
          <w:highlight w:val="none"/>
          <w:u w:val="single"/>
        </w:rPr>
        <w:t>：</w:t>
      </w:r>
      <w:r>
        <w:rPr>
          <w:rFonts w:hint="eastAsia" w:ascii="仿宋" w:hAnsi="仿宋" w:eastAsia="仿宋"/>
          <w:color w:val="auto"/>
          <w:sz w:val="24"/>
          <w:szCs w:val="28"/>
          <w:highlight w:val="none"/>
          <w:u w:val="single"/>
          <w:lang w:val="en-US" w:eastAsia="zh-CN"/>
        </w:rPr>
        <w:t>张旭东</w:t>
      </w:r>
      <w:r>
        <w:rPr>
          <w:rFonts w:hint="eastAsia" w:ascii="仿宋" w:hAnsi="仿宋" w:eastAsia="仿宋"/>
          <w:color w:val="auto"/>
          <w:sz w:val="24"/>
          <w:szCs w:val="28"/>
          <w:highlight w:val="none"/>
          <w:u w:val="single"/>
        </w:rPr>
        <w:t xml:space="preserve"> ；</w:t>
      </w:r>
      <w:r>
        <w:rPr>
          <w:rFonts w:ascii="仿宋" w:hAnsi="仿宋" w:eastAsia="仿宋"/>
          <w:color w:val="auto"/>
          <w:sz w:val="24"/>
          <w:szCs w:val="28"/>
          <w:highlight w:val="none"/>
          <w:u w:val="single"/>
        </w:rPr>
        <w:t>电话</w:t>
      </w:r>
      <w:r>
        <w:rPr>
          <w:rFonts w:hint="eastAsia" w:ascii="仿宋" w:hAnsi="仿宋" w:eastAsia="仿宋"/>
          <w:color w:val="auto"/>
          <w:sz w:val="24"/>
          <w:szCs w:val="28"/>
          <w:highlight w:val="none"/>
          <w:u w:val="single"/>
        </w:rPr>
        <w:t xml:space="preserve">： </w:t>
      </w:r>
      <w:r>
        <w:rPr>
          <w:rFonts w:hint="eastAsia" w:ascii="仿宋" w:hAnsi="仿宋" w:eastAsia="仿宋"/>
          <w:color w:val="auto"/>
          <w:sz w:val="24"/>
          <w:szCs w:val="28"/>
          <w:highlight w:val="none"/>
          <w:u w:val="single"/>
          <w:lang w:val="en-US" w:eastAsia="zh-CN"/>
        </w:rPr>
        <w:t>13109916662</w:t>
      </w:r>
      <w:r>
        <w:rPr>
          <w:rFonts w:hint="eastAsia" w:ascii="仿宋" w:hAnsi="仿宋" w:eastAsia="仿宋"/>
          <w:color w:val="auto"/>
          <w:sz w:val="24"/>
          <w:szCs w:val="28"/>
          <w:highlight w:val="none"/>
          <w:u w:val="single"/>
        </w:rPr>
        <w:t xml:space="preserve"> ；身份证号：</w:t>
      </w:r>
      <w:r>
        <w:rPr>
          <w:rFonts w:hint="eastAsia" w:ascii="仿宋" w:hAnsi="仿宋" w:eastAsia="仿宋"/>
          <w:color w:val="auto"/>
          <w:sz w:val="24"/>
          <w:szCs w:val="28"/>
          <w:highlight w:val="none"/>
          <w:u w:val="single"/>
          <w:lang w:val="en-US" w:eastAsia="zh-CN"/>
        </w:rPr>
        <w:t>654222199209193910</w:t>
      </w:r>
      <w:r>
        <w:rPr>
          <w:rFonts w:hint="eastAsia" w:ascii="仿宋" w:hAnsi="仿宋" w:eastAsia="仿宋"/>
          <w:color w:val="auto"/>
          <w:sz w:val="24"/>
          <w:szCs w:val="28"/>
          <w:highlight w:val="none"/>
          <w:u w:val="single"/>
        </w:rPr>
        <w:t xml:space="preserve"> ；邮箱：</w:t>
      </w:r>
      <w:r>
        <w:rPr>
          <w:rFonts w:hint="eastAsia" w:ascii="仿宋" w:hAnsi="仿宋" w:eastAsia="仿宋"/>
          <w:color w:val="auto"/>
          <w:sz w:val="24"/>
          <w:szCs w:val="28"/>
          <w:highlight w:val="none"/>
          <w:u w:val="single"/>
          <w:lang w:val="en-US" w:eastAsia="zh-CN"/>
        </w:rPr>
        <w:t>953596164@qq.com</w:t>
      </w:r>
      <w:r>
        <w:rPr>
          <w:rFonts w:hint="eastAsia" w:ascii="仿宋" w:hAnsi="仿宋" w:eastAsia="仿宋"/>
          <w:color w:val="auto"/>
          <w:sz w:val="24"/>
          <w:szCs w:val="28"/>
          <w:highlight w:val="none"/>
          <w:u w:val="single"/>
        </w:rPr>
        <w:t xml:space="preserve"> </w:t>
      </w:r>
      <w:r>
        <w:rPr>
          <w:rFonts w:hint="eastAsia" w:ascii="仿宋" w:hAnsi="仿宋" w:eastAsia="仿宋"/>
          <w:color w:val="auto"/>
          <w:sz w:val="24"/>
          <w:szCs w:val="28"/>
          <w:highlight w:val="none"/>
          <w:u w:val="single"/>
          <w:lang w:eastAsia="zh-CN"/>
        </w:rPr>
        <w:t>；</w:t>
      </w:r>
      <w:r>
        <w:rPr>
          <w:rFonts w:hint="eastAsia" w:ascii="仿宋" w:hAnsi="仿宋" w:eastAsia="仿宋"/>
          <w:color w:val="auto"/>
          <w:sz w:val="24"/>
          <w:szCs w:val="28"/>
          <w:highlight w:val="none"/>
          <w:u w:val="single"/>
          <w:lang w:val="en-US" w:eastAsia="zh-CN"/>
        </w:rPr>
        <w:t xml:space="preserve">职务：案场经理 </w:t>
      </w:r>
      <w:r>
        <w:rPr>
          <w:rFonts w:hint="eastAsia" w:ascii="仿宋" w:hAnsi="仿宋" w:eastAsia="仿宋"/>
          <w:color w:val="auto"/>
          <w:sz w:val="24"/>
          <w:szCs w:val="28"/>
          <w:highlight w:val="none"/>
          <w:u w:val="single"/>
        </w:rPr>
        <w:t>。</w:t>
      </w:r>
      <w:r>
        <w:rPr>
          <w:rStyle w:val="9"/>
          <w:rFonts w:hint="eastAsia"/>
          <w:color w:val="auto"/>
          <w:highlight w:val="none"/>
          <w:lang w:eastAsia="zh-CN"/>
        </w:rPr>
        <w:t>（</w:t>
      </w:r>
      <w:r>
        <w:rPr>
          <w:rFonts w:hint="eastAsia" w:ascii="仿宋" w:hAnsi="仿宋" w:eastAsia="仿宋"/>
          <w:color w:val="auto"/>
          <w:sz w:val="24"/>
          <w:szCs w:val="28"/>
          <w:highlight w:val="none"/>
          <w:lang w:val="en-US" w:eastAsia="zh-CN"/>
        </w:rPr>
        <w:t>甲方应当出具书面的授权委托书附于本合同。）</w:t>
      </w:r>
      <w:r>
        <w:rPr>
          <w:rFonts w:hint="eastAsia" w:ascii="仿宋" w:hAnsi="仿宋" w:eastAsia="仿宋"/>
          <w:color w:val="auto"/>
          <w:sz w:val="24"/>
          <w:szCs w:val="28"/>
          <w:highlight w:val="none"/>
        </w:rPr>
        <w:t>作为项目对接负责人（以上任一人均可），负责与乙方进行工作事项全部对接沟通、业绩确认等：（1）就本合同履行过程中相关事宜向对方提出或接收建议、意见、函件等文书、发票签收等；（2）负责包含但不限于对乙方发布项目信息的确认、乙方成功推介客户确认、成功销售确认、对账结算确认等;以上内容由甲方授权的项目对接负责人签字确认为准</w:t>
      </w:r>
      <w:r>
        <w:rPr>
          <w:rFonts w:hint="default" w:ascii="仿宋" w:hAnsi="仿宋" w:eastAsia="仿宋"/>
          <w:color w:val="auto"/>
          <w:sz w:val="24"/>
          <w:szCs w:val="28"/>
          <w:highlight w:val="none"/>
        </w:rPr>
        <w:t>，</w:t>
      </w:r>
      <w:r>
        <w:rPr>
          <w:rFonts w:hint="eastAsia" w:ascii="仿宋" w:hAnsi="仿宋" w:eastAsia="仿宋"/>
          <w:color w:val="auto"/>
          <w:sz w:val="24"/>
          <w:szCs w:val="28"/>
          <w:highlight w:val="none"/>
        </w:rPr>
        <w:t>甲方</w:t>
      </w:r>
      <w:r>
        <w:rPr>
          <w:rFonts w:hint="eastAsia" w:ascii="仿宋" w:hAnsi="仿宋" w:eastAsia="仿宋"/>
          <w:color w:val="auto"/>
          <w:sz w:val="24"/>
          <w:szCs w:val="28"/>
          <w:highlight w:val="none"/>
          <w:lang w:val="en-US" w:eastAsia="zh-CN"/>
        </w:rPr>
        <w:t>指定授权人</w:t>
      </w:r>
      <w:r>
        <w:rPr>
          <w:rFonts w:hint="eastAsia" w:ascii="仿宋" w:hAnsi="仿宋" w:eastAsia="仿宋"/>
          <w:color w:val="auto"/>
          <w:sz w:val="24"/>
          <w:szCs w:val="28"/>
          <w:highlight w:val="none"/>
        </w:rPr>
        <w:t>逾期未确认的，视为乙方提交的材料无误并以此为据结算。确认材料一式二份，甲乙双方各执一份。如甲方在合作期限内更换项目对接人，必须在更换对接人之前的三个工作日以书面形式告知乙方，如非书面告知则视为变更无效。</w:t>
      </w:r>
      <w:r>
        <w:rPr>
          <w:rFonts w:hint="eastAsia" w:ascii="仿宋" w:hAnsi="仿宋" w:eastAsia="仿宋"/>
          <w:color w:val="auto"/>
          <w:sz w:val="24"/>
          <w:szCs w:val="28"/>
          <w:highlight w:val="none"/>
          <w:lang w:val="en-US" w:eastAsia="zh-Hans"/>
        </w:rPr>
        <w:t>甲方</w:t>
      </w:r>
      <w:r>
        <w:rPr>
          <w:rFonts w:hint="eastAsia" w:ascii="仿宋" w:hAnsi="仿宋" w:eastAsia="仿宋"/>
          <w:color w:val="auto"/>
          <w:sz w:val="24"/>
          <w:szCs w:val="28"/>
          <w:highlight w:val="none"/>
          <w:lang w:val="en-US" w:eastAsia="zh-CN"/>
        </w:rPr>
        <w:t>指定授权人履行本合同所作业务行为均为甲方行为，甲方不得以未具体授权为由拒绝追认。乙方应保证其推荐客户的真实性（非恶意报备），如出现 3 次以上虚假报备，甲方有权暂停结算佣金，直至整改完毕。</w:t>
      </w:r>
    </w:p>
    <w:p w14:paraId="6F6D2D0B">
      <w:pPr>
        <w:adjustRightInd w:val="0"/>
        <w:snapToGrid w:val="0"/>
        <w:ind w:firstLine="480" w:firstLineChars="200"/>
        <w:rPr>
          <w:rFonts w:hint="default" w:ascii="仿宋" w:hAnsi="仿宋" w:eastAsia="仿宋"/>
          <w:color w:val="auto"/>
          <w:sz w:val="24"/>
          <w:szCs w:val="28"/>
          <w:highlight w:val="none"/>
          <w:lang w:eastAsia="zh-Hans"/>
        </w:rPr>
      </w:pPr>
      <w:r>
        <w:rPr>
          <w:rFonts w:hint="default" w:ascii="仿宋" w:hAnsi="仿宋" w:eastAsia="仿宋"/>
          <w:color w:val="auto"/>
          <w:sz w:val="24"/>
          <w:szCs w:val="28"/>
          <w:highlight w:val="none"/>
          <w:lang w:eastAsia="zh-CN"/>
        </w:rPr>
        <w:t>（3）</w:t>
      </w:r>
      <w:r>
        <w:rPr>
          <w:rFonts w:hint="eastAsia" w:ascii="仿宋" w:hAnsi="仿宋" w:eastAsia="仿宋"/>
          <w:color w:val="auto"/>
          <w:sz w:val="24"/>
          <w:szCs w:val="28"/>
          <w:highlight w:val="none"/>
          <w:lang w:val="en-US" w:eastAsia="zh-Hans"/>
        </w:rPr>
        <w:t>甲方工作人员</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Hans"/>
        </w:rPr>
        <w:t>业务经理</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Hans"/>
        </w:rPr>
        <w:t>财务人员等</w:t>
      </w:r>
      <w:r>
        <w:rPr>
          <w:rFonts w:hint="eastAsia" w:ascii="仿宋" w:hAnsi="仿宋" w:eastAsia="仿宋"/>
          <w:color w:val="auto"/>
          <w:sz w:val="24"/>
          <w:szCs w:val="28"/>
          <w:highlight w:val="none"/>
          <w:lang w:val="en-US" w:eastAsia="zh-CN"/>
        </w:rPr>
        <w:t>项目有关负责人，同下</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Hans"/>
        </w:rPr>
        <w:t>的签字与</w:t>
      </w:r>
      <w:r>
        <w:rPr>
          <w:rFonts w:hint="eastAsia" w:ascii="仿宋" w:hAnsi="仿宋" w:eastAsia="仿宋"/>
          <w:color w:val="auto"/>
          <w:sz w:val="24"/>
          <w:szCs w:val="28"/>
          <w:highlight w:val="none"/>
        </w:rPr>
        <w:t>甲方授权的项目对接负责人签字</w:t>
      </w:r>
      <w:r>
        <w:rPr>
          <w:rFonts w:hint="eastAsia" w:ascii="仿宋" w:hAnsi="仿宋" w:eastAsia="仿宋"/>
          <w:color w:val="auto"/>
          <w:sz w:val="24"/>
          <w:szCs w:val="28"/>
          <w:highlight w:val="none"/>
          <w:lang w:val="en-US" w:eastAsia="zh-Hans"/>
        </w:rPr>
        <w:t>具有同等法律效力</w:t>
      </w:r>
      <w:r>
        <w:rPr>
          <w:rFonts w:hint="default" w:ascii="仿宋" w:hAnsi="仿宋" w:eastAsia="仿宋"/>
          <w:color w:val="auto"/>
          <w:sz w:val="24"/>
          <w:szCs w:val="28"/>
          <w:highlight w:val="none"/>
        </w:rPr>
        <w:t>，</w:t>
      </w:r>
      <w:r>
        <w:rPr>
          <w:rFonts w:hint="eastAsia" w:ascii="仿宋" w:hAnsi="仿宋" w:eastAsia="仿宋"/>
          <w:color w:val="auto"/>
          <w:sz w:val="24"/>
          <w:szCs w:val="28"/>
          <w:highlight w:val="none"/>
          <w:lang w:val="en-US" w:eastAsia="zh-Hans"/>
        </w:rPr>
        <w:t>甲方工作人员在</w:t>
      </w:r>
      <w:r>
        <w:rPr>
          <w:rFonts w:hint="eastAsia" w:ascii="仿宋" w:hAnsi="仿宋" w:eastAsia="仿宋"/>
          <w:color w:val="auto"/>
          <w:sz w:val="24"/>
          <w:szCs w:val="28"/>
          <w:highlight w:val="none"/>
        </w:rPr>
        <w:t>包含但不限于对乙方发布项目信息的确认、乙方成功推介客户、成功销售、对账结算</w:t>
      </w:r>
      <w:r>
        <w:rPr>
          <w:rFonts w:hint="eastAsia" w:ascii="仿宋" w:hAnsi="仿宋" w:eastAsia="仿宋"/>
          <w:color w:val="auto"/>
          <w:sz w:val="24"/>
          <w:szCs w:val="28"/>
          <w:highlight w:val="none"/>
          <w:lang w:val="en-US" w:eastAsia="zh-Hans"/>
        </w:rPr>
        <w:t>等</w:t>
      </w:r>
      <w:r>
        <w:rPr>
          <w:rFonts w:hint="eastAsia" w:ascii="仿宋" w:hAnsi="仿宋" w:eastAsia="仿宋"/>
          <w:color w:val="auto"/>
          <w:sz w:val="24"/>
          <w:szCs w:val="28"/>
          <w:highlight w:val="none"/>
        </w:rPr>
        <w:t>确认</w:t>
      </w:r>
      <w:r>
        <w:rPr>
          <w:rFonts w:hint="eastAsia" w:ascii="仿宋" w:hAnsi="仿宋" w:eastAsia="仿宋"/>
          <w:color w:val="auto"/>
          <w:sz w:val="24"/>
          <w:szCs w:val="28"/>
          <w:highlight w:val="none"/>
          <w:lang w:val="en-US" w:eastAsia="zh-Hans"/>
        </w:rPr>
        <w:t>文件上签字的</w:t>
      </w:r>
      <w:r>
        <w:rPr>
          <w:rFonts w:hint="default" w:ascii="仿宋" w:hAnsi="仿宋" w:eastAsia="仿宋"/>
          <w:color w:val="auto"/>
          <w:sz w:val="24"/>
          <w:szCs w:val="28"/>
          <w:highlight w:val="none"/>
          <w:lang w:eastAsia="zh-Hans"/>
        </w:rPr>
        <w:t>，</w:t>
      </w:r>
      <w:r>
        <w:rPr>
          <w:rFonts w:hint="eastAsia" w:ascii="仿宋" w:hAnsi="仿宋" w:eastAsia="仿宋"/>
          <w:color w:val="auto"/>
          <w:sz w:val="24"/>
          <w:szCs w:val="28"/>
          <w:highlight w:val="none"/>
          <w:lang w:val="en-US" w:eastAsia="zh-CN"/>
        </w:rPr>
        <w:t>甲方不得拒绝追认。</w:t>
      </w:r>
    </w:p>
    <w:p w14:paraId="6F433541">
      <w:pPr>
        <w:adjustRightInd w:val="0"/>
        <w:snapToGrid w:val="0"/>
        <w:ind w:left="40" w:leftChars="19"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4</w:t>
      </w:r>
      <w:r>
        <w:rPr>
          <w:rFonts w:hint="eastAsia" w:ascii="仿宋" w:hAnsi="仿宋" w:eastAsia="仿宋"/>
          <w:color w:val="auto"/>
          <w:sz w:val="24"/>
          <w:highlight w:val="none"/>
        </w:rPr>
        <w:t>）应乙方的要求配合提供乙方工作所需相关资料：提供该项目之推介房源的户型平面图、交房标准、各户型销售面积及《商品房买卖合同》范本等有关文件资料。向乙方提供该项目的宣传信息，如宣传广告、境内新闻报道等，并保证上述资料的真实合法性。</w:t>
      </w:r>
    </w:p>
    <w:p w14:paraId="47546177">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5</w:t>
      </w:r>
      <w:r>
        <w:rPr>
          <w:rFonts w:hint="eastAsia" w:ascii="仿宋" w:hAnsi="仿宋" w:eastAsia="仿宋"/>
          <w:color w:val="auto"/>
          <w:sz w:val="24"/>
          <w:highlight w:val="none"/>
        </w:rPr>
        <w:t>）甲方授权乙方在本次合作相关文宣品及网站上使用甲方提供的图形/肖像/文字商标/商号/LOGO/司标/旗标/名称，用于宣传、推广和营销活动，但相关宣传资料的内容与发布须事先经过甲方的微信或电话同意。甲方保证合法拥有上述资料的使用权、发布权，不对第三人的合法权益造成侵害。未经乙方书面同意，甲方不得使用乙方提供的图形/肖像/文字商标/商号/LOGO/司标/旗标/名称，否则甲方应承担1万/次,违约金不足予赔偿造成乙方的损失，则甲方另行补足。</w:t>
      </w:r>
    </w:p>
    <w:p w14:paraId="59B16589">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6</w:t>
      </w:r>
      <w:r>
        <w:rPr>
          <w:rFonts w:hint="eastAsia" w:ascii="仿宋" w:hAnsi="仿宋" w:eastAsia="仿宋"/>
          <w:color w:val="auto"/>
          <w:sz w:val="24"/>
          <w:highlight w:val="none"/>
        </w:rPr>
        <w:t>）甲方保证乙方推荐的客户与项目自然到访客户及其他</w:t>
      </w:r>
      <w:r>
        <w:rPr>
          <w:rFonts w:hint="eastAsia" w:ascii="仿宋" w:hAnsi="仿宋" w:eastAsia="仿宋"/>
          <w:color w:val="auto"/>
          <w:sz w:val="24"/>
          <w:highlight w:val="none"/>
          <w:lang w:val="en-US" w:eastAsia="zh-CN"/>
        </w:rPr>
        <w:t>渠道服务商</w:t>
      </w:r>
      <w:r>
        <w:rPr>
          <w:rFonts w:hint="eastAsia" w:ascii="仿宋" w:hAnsi="仿宋" w:eastAsia="仿宋"/>
          <w:color w:val="auto"/>
          <w:sz w:val="24"/>
          <w:highlight w:val="none"/>
        </w:rPr>
        <w:t>推介的客户享受同等条件的优惠及待遇。</w:t>
      </w:r>
    </w:p>
    <w:p w14:paraId="6E6413CC">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7</w:t>
      </w:r>
      <w:r>
        <w:rPr>
          <w:rFonts w:hint="eastAsia" w:ascii="仿宋" w:hAnsi="仿宋" w:eastAsia="仿宋"/>
          <w:color w:val="auto"/>
          <w:sz w:val="24"/>
          <w:highlight w:val="none"/>
        </w:rPr>
        <w:t>）甲方有权监督乙方向推荐客户提供服务的全部过程。</w:t>
      </w:r>
    </w:p>
    <w:p w14:paraId="36A63FA4">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8</w:t>
      </w:r>
      <w:r>
        <w:rPr>
          <w:rFonts w:hint="eastAsia" w:ascii="仿宋" w:hAnsi="仿宋" w:eastAsia="仿宋"/>
          <w:color w:val="auto"/>
          <w:sz w:val="24"/>
          <w:highlight w:val="none"/>
        </w:rPr>
        <w:t>）一切有关该项目与购房客户签署的合同文件均须由甲方签署，乙方及其他任何单位或个人均无权签署。甲方应提供专人负责办理物业销售备案、销售按揭、产权办理等相关事宜；由于物业质量、售后服务等所引发的相关问题由甲方承担和解决。</w:t>
      </w:r>
    </w:p>
    <w:p w14:paraId="3D0A523E">
      <w:pPr>
        <w:ind w:firstLine="480" w:firstLineChars="200"/>
        <w:rPr>
          <w:color w:val="auto"/>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9</w:t>
      </w:r>
      <w:r>
        <w:rPr>
          <w:rFonts w:hint="eastAsia" w:ascii="仿宋" w:hAnsi="仿宋" w:eastAsia="仿宋"/>
          <w:color w:val="auto"/>
          <w:sz w:val="24"/>
          <w:highlight w:val="none"/>
        </w:rPr>
        <w:t>）甲方财务人员负责统一收取购房方之全部购房款和定金及其他该房屋相关之款项。但不得收取与该项目无关的任何费用。如甲方向客户收取与本项目无关的任何费用给乙方或乙方客户造成损失的，甲方需向乙方赔偿所造成的损失。</w:t>
      </w:r>
    </w:p>
    <w:p w14:paraId="465A1FBC">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default" w:ascii="仿宋" w:hAnsi="仿宋" w:eastAsia="仿宋"/>
          <w:color w:val="auto"/>
          <w:sz w:val="24"/>
          <w:highlight w:val="none"/>
        </w:rPr>
        <w:t>10</w:t>
      </w:r>
      <w:r>
        <w:rPr>
          <w:rFonts w:hint="eastAsia" w:ascii="仿宋" w:hAnsi="仿宋" w:eastAsia="仿宋"/>
          <w:color w:val="auto"/>
          <w:sz w:val="24"/>
          <w:highlight w:val="none"/>
        </w:rPr>
        <w:t>）甲方需提供乙方推荐客户在该项目的接待服务。对乙方提供的客户信息等均予以保密，不得向第三方泄露，甲方从乙方处获知乙方推介客户信息后，不得引导或配合乙方推介客户避开乙方服务，否则，只要该客户成功购房的，则视为乙方服务成功，甲方应支付乙方服务费。对于乙方推介的客户，甲方承诺应及时安排人员进行客户确认，并将确认结果反馈给乙方。若因甲方未及时安排确认等甲方原因造成被其他人员推介的，仍视为乙方有效客户，该客户发生成交的，甲方应向乙方支付对应佣金。</w:t>
      </w:r>
    </w:p>
    <w:p w14:paraId="35FB36E1">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11</w:t>
      </w:r>
      <w:r>
        <w:rPr>
          <w:rFonts w:hint="eastAsia" w:ascii="仿宋" w:hAnsi="仿宋" w:eastAsia="仿宋"/>
          <w:color w:val="auto"/>
          <w:sz w:val="24"/>
          <w:highlight w:val="none"/>
        </w:rPr>
        <w:t>）甲方有义务按合同约定按时、足额支付乙方相应服务费。</w:t>
      </w:r>
    </w:p>
    <w:p w14:paraId="605C7ED9">
      <w:pPr>
        <w:adjustRightInd w:val="0"/>
        <w:snapToGrid w:val="0"/>
        <w:ind w:left="40" w:leftChars="19"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12</w:t>
      </w:r>
      <w:r>
        <w:rPr>
          <w:rFonts w:hint="eastAsia" w:ascii="仿宋" w:hAnsi="仿宋" w:eastAsia="仿宋"/>
          <w:color w:val="auto"/>
          <w:sz w:val="24"/>
          <w:highlight w:val="none"/>
        </w:rPr>
        <w:t>）甲方如消极与乙方确认客户及业绩的，乙方有权凭其与甲方人员之间的微信、QQ、邮件、短信或语音等信息，及客户与甲方签署的商品房认购书或商品房买卖合同等作为客户确认、业绩确认的依据要求甲方支付相应的服务费。</w:t>
      </w:r>
    </w:p>
    <w:p w14:paraId="4D721D46">
      <w:pPr>
        <w:adjustRightInd w:val="0"/>
        <w:snapToGrid w:val="0"/>
        <w:ind w:left="40" w:leftChars="19" w:firstLine="480" w:firstLineChars="200"/>
        <w:rPr>
          <w:rFonts w:hint="eastAsia" w:ascii="仿宋" w:hAnsi="仿宋" w:eastAsia="仿宋"/>
          <w:color w:val="auto"/>
          <w:sz w:val="24"/>
          <w:highlight w:val="none"/>
          <w:lang w:eastAsia="zh-CN"/>
        </w:rPr>
      </w:pP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1</w:t>
      </w:r>
      <w:r>
        <w:rPr>
          <w:rFonts w:hint="default" w:ascii="仿宋" w:hAnsi="仿宋" w:eastAsia="仿宋"/>
          <w:color w:val="auto"/>
          <w:sz w:val="24"/>
          <w:highlight w:val="none"/>
          <w:lang w:eastAsia="zh-CN"/>
        </w:rPr>
        <w:t>4</w:t>
      </w:r>
      <w:r>
        <w:rPr>
          <w:rFonts w:hint="eastAsia" w:ascii="仿宋" w:hAnsi="仿宋" w:eastAsia="仿宋"/>
          <w:color w:val="auto"/>
          <w:sz w:val="24"/>
          <w:highlight w:val="none"/>
          <w:lang w:eastAsia="zh-CN"/>
        </w:rPr>
        <w:t>）甲方授权乙方使用甲方提供的图片、数据、信息等，提供包括直接提供，和乙方自行从甲方网站、微信公众号、微博等平台下载的间接提供，甲方保证对提供的房源图片、数据、信息等享有合法权益，不侵犯其他任何第三方的知识产权和其他权利。因甲方提供的图片、数据、信息等引发的纠纷，由甲方负责处理，给乙方造成损失的，甲方应赔偿。</w:t>
      </w:r>
    </w:p>
    <w:p w14:paraId="4FA2B5A5">
      <w:pPr>
        <w:adjustRightInd w:val="0"/>
        <w:snapToGrid w:val="0"/>
        <w:ind w:left="40" w:leftChars="19" w:firstLine="480" w:firstLineChars="200"/>
        <w:rPr>
          <w:rFonts w:ascii="仿宋" w:hAnsi="仿宋" w:eastAsia="仿宋"/>
          <w:color w:val="auto"/>
          <w:sz w:val="24"/>
          <w:highlight w:val="none"/>
        </w:rPr>
      </w:pPr>
    </w:p>
    <w:p w14:paraId="29EA8077">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乙方的权利和义务</w:t>
      </w:r>
    </w:p>
    <w:p w14:paraId="5BFA5448">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1</w:t>
      </w:r>
      <w:r>
        <w:rPr>
          <w:rFonts w:hint="eastAsia" w:ascii="仿宋" w:hAnsi="仿宋" w:eastAsia="仿宋"/>
          <w:color w:val="auto"/>
          <w:sz w:val="24"/>
          <w:highlight w:val="none"/>
        </w:rPr>
        <w:t>）向甲方出示营业执照等经营资格证明复印件。</w:t>
      </w:r>
    </w:p>
    <w:p w14:paraId="621A7819">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2</w:t>
      </w:r>
      <w:r>
        <w:rPr>
          <w:rFonts w:hint="eastAsia" w:ascii="仿宋" w:hAnsi="仿宋" w:eastAsia="仿宋"/>
          <w:color w:val="auto"/>
          <w:sz w:val="24"/>
          <w:highlight w:val="none"/>
        </w:rPr>
        <w:t>）应信守甲方所规定的销售价格及优惠策略，非经甲方书面授权，不得擅自承诺给购房人任何形式的折扣、优惠或者加价销售。</w:t>
      </w:r>
    </w:p>
    <w:p w14:paraId="4E3EBA4F">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3</w:t>
      </w:r>
      <w:r>
        <w:rPr>
          <w:rFonts w:hint="eastAsia" w:ascii="仿宋" w:hAnsi="仿宋" w:eastAsia="仿宋"/>
          <w:color w:val="auto"/>
          <w:sz w:val="24"/>
          <w:highlight w:val="none"/>
        </w:rPr>
        <w:t>）乙方不得擅自与认购者修改甲方审定之《认购书》《商品房买卖合同》之任何条款。</w:t>
      </w:r>
    </w:p>
    <w:p w14:paraId="52F158B3">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4</w:t>
      </w:r>
      <w:r>
        <w:rPr>
          <w:rFonts w:hint="eastAsia" w:ascii="仿宋" w:hAnsi="仿宋" w:eastAsia="仿宋"/>
          <w:color w:val="auto"/>
          <w:sz w:val="24"/>
          <w:highlight w:val="none"/>
        </w:rPr>
        <w:t>）乙方有权利用自身线上资源进行项目推广并获取客户资源，销售讲解内容不得超越甲方提供的文件图纸的约定范围，如乙方的讲解超出该范围，并因此产生的一切后果均为乙方承担。乙方在销售过程中，如发生该范围内未涉及内容，乙方不得私自解释或承诺。</w:t>
      </w:r>
    </w:p>
    <w:p w14:paraId="4A492E8D">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5</w:t>
      </w:r>
      <w:r>
        <w:rPr>
          <w:rFonts w:hint="eastAsia" w:ascii="仿宋" w:hAnsi="仿宋" w:eastAsia="仿宋"/>
          <w:color w:val="auto"/>
          <w:sz w:val="24"/>
          <w:highlight w:val="none"/>
        </w:rPr>
        <w:t>）乙方及乙方向甲方提供渠道服务的人员，不得向任何人自称或者暗示自己是甲方的工作人员，不得以甲方名义向客户收取任何费用。</w:t>
      </w:r>
    </w:p>
    <w:p w14:paraId="1EE065FB">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w:t>
      </w:r>
      <w:r>
        <w:rPr>
          <w:rFonts w:ascii="仿宋" w:hAnsi="仿宋" w:eastAsia="仿宋"/>
          <w:color w:val="auto"/>
          <w:sz w:val="24"/>
          <w:highlight w:val="none"/>
        </w:rPr>
        <w:t>6</w:t>
      </w:r>
      <w:r>
        <w:rPr>
          <w:rFonts w:hint="eastAsia" w:ascii="仿宋" w:hAnsi="仿宋" w:eastAsia="仿宋"/>
          <w:color w:val="auto"/>
          <w:sz w:val="24"/>
          <w:highlight w:val="none"/>
        </w:rPr>
        <w:t>）甲方给付乙方款项的税费由乙方负担。</w:t>
      </w:r>
    </w:p>
    <w:p w14:paraId="2F33C894">
      <w:pPr>
        <w:adjustRightInd w:val="0"/>
        <w:snapToGrid w:val="0"/>
        <w:ind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7</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当月认购业务因人工问题未录入甲方系统，按当月佣金正常结算</w:t>
      </w:r>
      <w:r>
        <w:rPr>
          <w:rFonts w:hint="eastAsia" w:ascii="仿宋" w:hAnsi="仿宋" w:eastAsia="仿宋"/>
          <w:color w:val="auto"/>
          <w:sz w:val="24"/>
          <w:highlight w:val="none"/>
          <w:lang w:eastAsia="zh-CN"/>
        </w:rPr>
        <w:t>。</w:t>
      </w:r>
    </w:p>
    <w:p w14:paraId="7D84EA30">
      <w:pPr>
        <w:adjustRightInd w:val="0"/>
        <w:snapToGrid w:val="0"/>
        <w:ind w:left="40" w:leftChars="19"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rPr>
        <w:t>第九条合同的终止和变更</w:t>
      </w:r>
    </w:p>
    <w:p w14:paraId="65D1EA70">
      <w:pPr>
        <w:numPr>
          <w:ilvl w:val="0"/>
          <w:numId w:val="3"/>
        </w:numPr>
        <w:adjustRightInd w:val="0"/>
        <w:snapToGrid w:val="0"/>
        <w:ind w:firstLine="600" w:firstLineChars="250"/>
        <w:rPr>
          <w:rFonts w:ascii="仿宋" w:hAnsi="仿宋" w:eastAsia="仿宋"/>
          <w:color w:val="auto"/>
          <w:sz w:val="24"/>
          <w:highlight w:val="none"/>
        </w:rPr>
      </w:pPr>
      <w:r>
        <w:rPr>
          <w:rFonts w:hint="eastAsia" w:ascii="仿宋" w:hAnsi="仿宋" w:eastAsia="仿宋"/>
          <w:color w:val="auto"/>
          <w:sz w:val="24"/>
          <w:highlight w:val="none"/>
        </w:rPr>
        <w:t>合同到期终止，续签需另行签署书面协议</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cr/>
      </w:r>
      <w:r>
        <w:rPr>
          <w:rFonts w:hint="eastAsia" w:ascii="仿宋" w:hAnsi="仿宋" w:eastAsia="仿宋"/>
          <w:color w:val="auto"/>
          <w:sz w:val="24"/>
          <w:highlight w:val="none"/>
        </w:rPr>
        <w:t xml:space="preserve">     2.本合同到期前，任意一方有意提前解除合作关系时，需至少提前【30】个工作日以书面形式通知对方，待对方收到书面函件后，则视为双方解除合作关系。本合同的变更、解除、提前终止须在双方达成一致的基础上以书面形式予以明确。</w:t>
      </w:r>
    </w:p>
    <w:p w14:paraId="6085DDD3">
      <w:pPr>
        <w:adjustRightInd w:val="0"/>
        <w:snapToGrid w:val="0"/>
        <w:ind w:firstLine="600" w:firstLineChars="250"/>
        <w:rPr>
          <w:rFonts w:ascii="仿宋" w:hAnsi="仿宋" w:eastAsia="仿宋"/>
          <w:color w:val="auto"/>
          <w:sz w:val="24"/>
          <w:szCs w:val="28"/>
          <w:highlight w:val="none"/>
        </w:rPr>
      </w:pPr>
      <w:r>
        <w:rPr>
          <w:rFonts w:ascii="仿宋" w:hAnsi="仿宋" w:eastAsia="仿宋"/>
          <w:color w:val="auto"/>
          <w:sz w:val="24"/>
          <w:highlight w:val="none"/>
        </w:rPr>
        <w:t>3.</w:t>
      </w:r>
      <w:r>
        <w:rPr>
          <w:rFonts w:hint="eastAsia" w:ascii="仿宋" w:hAnsi="仿宋" w:eastAsia="仿宋"/>
          <w:color w:val="auto"/>
          <w:sz w:val="24"/>
          <w:szCs w:val="28"/>
          <w:highlight w:val="none"/>
        </w:rPr>
        <w:t>本合同发生任何形式的终止（含提前终止、解除、期限届满，下同），不影响甲乙双方结算实际发生的佣金，合同终止后甲乙双方之间的对账、结算事宜仍按照本合同约定执行，甲方不得以本合同终止为由拒绝支付乙方服务费。</w:t>
      </w:r>
    </w:p>
    <w:p w14:paraId="3239BBC5">
      <w:pPr>
        <w:adjustRightInd w:val="0"/>
        <w:snapToGrid w:val="0"/>
        <w:ind w:firstLine="600" w:firstLineChars="250"/>
        <w:rPr>
          <w:rFonts w:ascii="仿宋" w:hAnsi="仿宋" w:eastAsia="仿宋"/>
          <w:color w:val="auto"/>
          <w:sz w:val="24"/>
          <w:szCs w:val="28"/>
          <w:highlight w:val="none"/>
        </w:rPr>
      </w:pPr>
      <w:r>
        <w:rPr>
          <w:rFonts w:hint="eastAsia" w:ascii="仿宋" w:hAnsi="仿宋" w:eastAsia="仿宋"/>
          <w:color w:val="auto"/>
          <w:sz w:val="24"/>
          <w:szCs w:val="28"/>
          <w:highlight w:val="none"/>
        </w:rPr>
        <w:t>4.若甲方发生房闹事件或出现合作房源被查封或设立抵押或政府等第三方原因导致合作房源被封盘或无法正常签署购房合同或者无法正常办理网签的等影响正常交易的事项，客户认购合作房源视为成功销售达到服务费结算条件，甲方应按约支付服务费，同时乙方有权提前终止本合同且不承担任何违约责任，由此造成的客户纠纷等问题及乙方损失的由甲方承担。</w:t>
      </w:r>
    </w:p>
    <w:p w14:paraId="359B8380">
      <w:pPr>
        <w:adjustRightInd w:val="0"/>
        <w:snapToGrid w:val="0"/>
        <w:ind w:left="40" w:leftChars="19" w:firstLine="482" w:firstLineChars="200"/>
        <w:rPr>
          <w:rFonts w:ascii="仿宋" w:hAnsi="仿宋" w:eastAsia="仿宋"/>
          <w:b/>
          <w:color w:val="auto"/>
          <w:sz w:val="24"/>
          <w:highlight w:val="none"/>
        </w:rPr>
      </w:pPr>
    </w:p>
    <w:p w14:paraId="4F366E23">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第十条违约责任</w:t>
      </w:r>
    </w:p>
    <w:p w14:paraId="293C2DE3">
      <w:pPr>
        <w:adjustRightInd w:val="0"/>
        <w:snapToGrid w:val="0"/>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甲、乙双方任何一方未履行本合同之条款时，所造成之经济损失应由违约方承担。</w:t>
      </w:r>
    </w:p>
    <w:p w14:paraId="240B3D01">
      <w:pPr>
        <w:adjustRightInd w:val="0"/>
        <w:snapToGrid w:val="0"/>
        <w:ind w:firstLine="480" w:firstLineChars="200"/>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违约方违约时，非违约方有权要求违约方继续履行本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w:t>
      </w:r>
    </w:p>
    <w:p w14:paraId="7F62AA04">
      <w:pPr>
        <w:adjustRightInd w:val="0"/>
        <w:snapToGrid w:val="0"/>
        <w:ind w:firstLine="480" w:firstLineChars="200"/>
        <w:rPr>
          <w:rFonts w:ascii="仿宋" w:hAnsi="仿宋" w:eastAsia="仿宋"/>
          <w:color w:val="auto"/>
          <w:sz w:val="24"/>
          <w:highlight w:val="none"/>
        </w:rPr>
      </w:pPr>
      <w:r>
        <w:rPr>
          <w:rFonts w:hint="eastAsia" w:ascii="仿宋" w:hAnsi="仿宋" w:eastAsia="仿宋"/>
          <w:color w:val="auto"/>
          <w:sz w:val="24"/>
          <w:highlight w:val="none"/>
        </w:rPr>
        <w:t>3.违约方除了承担对应违约责任外，守约方因此遭受的损失及为此主张权利产生的一切费用（包括但不限于诉讼费、律师费、财产保全费、保函费、评估鉴定费、执行费、拍卖费、差旅费等）均由违约方承担。</w:t>
      </w:r>
    </w:p>
    <w:p w14:paraId="29A66613">
      <w:pPr>
        <w:adjustRightInd w:val="0"/>
        <w:snapToGrid w:val="0"/>
        <w:ind w:firstLine="482" w:firstLineChars="200"/>
        <w:rPr>
          <w:rFonts w:ascii="仿宋" w:hAnsi="仿宋" w:eastAsia="仿宋"/>
          <w:b/>
          <w:color w:val="auto"/>
          <w:sz w:val="24"/>
          <w:highlight w:val="none"/>
        </w:rPr>
      </w:pPr>
    </w:p>
    <w:p w14:paraId="34862E53">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第十一条保密条款</w:t>
      </w:r>
    </w:p>
    <w:p w14:paraId="22076B8B">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任何一方应将本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中的所有细节和商业秘密，包括但是不限于：项目成本、客户资料、营销方案等以及各方之间相互联系的文件作为保密信息，未经对方书面同意，不得以任何方式向</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当事人之外的任何一方泄露。</w:t>
      </w:r>
    </w:p>
    <w:p w14:paraId="738A4358">
      <w:pPr>
        <w:adjustRightInd w:val="0"/>
        <w:snapToGrid w:val="0"/>
        <w:ind w:left="40" w:leftChars="19" w:firstLine="480" w:firstLineChars="200"/>
        <w:rPr>
          <w:rFonts w:ascii="仿宋" w:hAnsi="仿宋" w:eastAsia="仿宋"/>
          <w:b/>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本条所述义务在本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终止后仍持续有效。若有任一方违约，违约方承担全部损失。</w:t>
      </w:r>
    </w:p>
    <w:p w14:paraId="7FDB5E1F">
      <w:pPr>
        <w:adjustRightInd w:val="0"/>
        <w:snapToGrid w:val="0"/>
        <w:ind w:left="40" w:leftChars="19" w:firstLine="482" w:firstLineChars="200"/>
        <w:rPr>
          <w:rFonts w:ascii="仿宋" w:hAnsi="仿宋" w:eastAsia="仿宋"/>
          <w:b/>
          <w:color w:val="auto"/>
          <w:sz w:val="24"/>
          <w:highlight w:val="none"/>
        </w:rPr>
      </w:pPr>
    </w:p>
    <w:p w14:paraId="63509590">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第十二条不可抗力</w:t>
      </w:r>
    </w:p>
    <w:p w14:paraId="6D2E3166">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若任何一方因某一不可抗力事件而不能履行或迟延履行本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项下的义务，应根据不可抗力事件的影响，部分或者全部免除其责任，但其应立即书面通知其他方该不可抗力事件的发生，并应在该不可抗力事件发生之日后【7】个工作日内向其他方提供该不可抗力事件的详尽资料及证明，并说明不能履行或迟延履行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项下义务的原因，否则视为未发生不可抗力事件。</w:t>
      </w:r>
    </w:p>
    <w:p w14:paraId="6A6AE810">
      <w:pPr>
        <w:adjustRightInd w:val="0"/>
        <w:snapToGrid w:val="0"/>
        <w:ind w:left="40" w:leftChars="19" w:firstLine="480" w:firstLineChars="200"/>
        <w:rPr>
          <w:rFonts w:ascii="仿宋" w:hAnsi="仿宋" w:eastAsia="仿宋"/>
          <w:b/>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倘若在不可抗力事件发生后【7】个工作日内，该不可抗力事件造成的影响仍不能恢复、免除或补救的，则各方均有权终止本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，除本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特别约定外，甲方在支付乙方本合同约定的佣金之后，各方均无需承担任何责任。</w:t>
      </w:r>
    </w:p>
    <w:p w14:paraId="1AFC65C5">
      <w:pPr>
        <w:adjustRightInd w:val="0"/>
        <w:snapToGrid w:val="0"/>
        <w:ind w:left="40" w:leftChars="19" w:firstLine="482" w:firstLineChars="200"/>
        <w:rPr>
          <w:rFonts w:ascii="仿宋" w:hAnsi="仿宋" w:eastAsia="仿宋"/>
          <w:b/>
          <w:color w:val="auto"/>
          <w:sz w:val="24"/>
          <w:highlight w:val="none"/>
        </w:rPr>
      </w:pPr>
    </w:p>
    <w:p w14:paraId="6FFCE2BC">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第十三条法律适用及争议解决</w:t>
      </w:r>
    </w:p>
    <w:p w14:paraId="004EC0C8">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本合同的订立、生效、解释、履行、由本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产生及与有关争议的解决均适用中国法律。</w:t>
      </w:r>
    </w:p>
    <w:p w14:paraId="3AB9A13C">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本合同履行过程中发生的争议双方协商解决，协商不成，提交合同履行地（项目所在地）人民法院诉讼解决</w:t>
      </w:r>
    </w:p>
    <w:p w14:paraId="4A8CD09E">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3. 诉讼进行过程中，除双方有争议的部分外，本合同其他部分仍有效，双方应继续按照合同履行。</w:t>
      </w:r>
    </w:p>
    <w:p w14:paraId="7FC5E5B4">
      <w:pPr>
        <w:adjustRightInd w:val="0"/>
        <w:snapToGrid w:val="0"/>
        <w:ind w:left="40" w:leftChars="19" w:firstLine="480" w:firstLineChars="200"/>
        <w:rPr>
          <w:rFonts w:ascii="仿宋" w:hAnsi="仿宋" w:eastAsia="仿宋"/>
          <w:color w:val="auto"/>
          <w:sz w:val="24"/>
          <w:highlight w:val="none"/>
        </w:rPr>
      </w:pPr>
    </w:p>
    <w:p w14:paraId="1F1997ED">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 xml:space="preserve">第十四条 沟通联络 </w:t>
      </w:r>
    </w:p>
    <w:p w14:paraId="365DA14F">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1.在本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履行过程中，甲方与乙方均指派专人与对方联络，以保证双方能及时沟通和协调，如需更换联络人员，更换方须提前3个工作日书面通知对方。</w:t>
      </w:r>
    </w:p>
    <w:p w14:paraId="756A001E">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2.甲方指定下列联络人员/授权代表：</w:t>
      </w:r>
      <w:r>
        <w:rPr>
          <w:rFonts w:hint="eastAsia" w:ascii="仿宋" w:hAnsi="仿宋" w:eastAsia="仿宋"/>
          <w:color w:val="auto"/>
          <w:sz w:val="24"/>
          <w:highlight w:val="none"/>
          <w:u w:val="single"/>
          <w:lang w:val="en-US" w:eastAsia="zh-CN"/>
        </w:rPr>
        <w:t>张旭东</w:t>
      </w:r>
      <w:r>
        <w:rPr>
          <w:rFonts w:hint="eastAsia" w:ascii="仿宋" w:hAnsi="仿宋" w:eastAsia="仿宋"/>
          <w:color w:val="auto"/>
          <w:sz w:val="24"/>
          <w:highlight w:val="none"/>
          <w:u w:val="single"/>
        </w:rPr>
        <w:t xml:space="preserve"> ，身份证号：</w:t>
      </w:r>
      <w:r>
        <w:rPr>
          <w:rFonts w:hint="eastAsia" w:ascii="仿宋" w:hAnsi="仿宋" w:eastAsia="仿宋"/>
          <w:color w:val="auto"/>
          <w:sz w:val="24"/>
          <w:highlight w:val="none"/>
          <w:u w:val="single"/>
          <w:lang w:val="en-US" w:eastAsia="zh-CN"/>
        </w:rPr>
        <w:t>654222199209193910</w:t>
      </w:r>
      <w:r>
        <w:rPr>
          <w:rFonts w:hint="eastAsia" w:ascii="仿宋" w:hAnsi="仿宋" w:eastAsia="仿宋"/>
          <w:color w:val="auto"/>
          <w:sz w:val="24"/>
          <w:highlight w:val="none"/>
          <w:u w:val="single"/>
        </w:rPr>
        <w:t xml:space="preserve"> 联系电话：</w:t>
      </w:r>
      <w:r>
        <w:rPr>
          <w:rFonts w:hint="eastAsia" w:ascii="仿宋" w:hAnsi="仿宋" w:eastAsia="仿宋"/>
          <w:color w:val="auto"/>
          <w:sz w:val="24"/>
          <w:highlight w:val="none"/>
          <w:u w:val="single"/>
          <w:lang w:val="en-US" w:eastAsia="zh-CN"/>
        </w:rPr>
        <w:t>13109916662</w:t>
      </w:r>
      <w:r>
        <w:rPr>
          <w:rFonts w:hint="eastAsia" w:ascii="仿宋" w:hAnsi="仿宋" w:eastAsia="仿宋"/>
          <w:color w:val="auto"/>
          <w:sz w:val="24"/>
          <w:highlight w:val="none"/>
          <w:u w:val="single"/>
        </w:rPr>
        <w:t xml:space="preserve"> 邮箱：</w:t>
      </w:r>
      <w:r>
        <w:rPr>
          <w:rFonts w:hint="eastAsia" w:ascii="仿宋" w:hAnsi="仿宋" w:eastAsia="仿宋"/>
          <w:color w:val="auto"/>
          <w:sz w:val="24"/>
          <w:highlight w:val="none"/>
          <w:u w:val="single"/>
          <w:lang w:val="en-US" w:eastAsia="zh-CN"/>
        </w:rPr>
        <w:fldChar w:fldCharType="begin"/>
      </w:r>
      <w:r>
        <w:rPr>
          <w:rFonts w:hint="eastAsia" w:ascii="仿宋" w:hAnsi="仿宋" w:eastAsia="仿宋"/>
          <w:color w:val="auto"/>
          <w:sz w:val="24"/>
          <w:highlight w:val="none"/>
          <w:u w:val="single"/>
          <w:lang w:val="en-US" w:eastAsia="zh-CN"/>
        </w:rPr>
        <w:instrText xml:space="preserve"> HYPERLINK "mailto:953596164@qq.com" </w:instrText>
      </w:r>
      <w:r>
        <w:rPr>
          <w:rFonts w:hint="eastAsia" w:ascii="仿宋" w:hAnsi="仿宋" w:eastAsia="仿宋"/>
          <w:color w:val="auto"/>
          <w:sz w:val="24"/>
          <w:highlight w:val="none"/>
          <w:u w:val="single"/>
          <w:lang w:val="en-US" w:eastAsia="zh-CN"/>
        </w:rPr>
        <w:fldChar w:fldCharType="separate"/>
      </w:r>
      <w:r>
        <w:rPr>
          <w:rStyle w:val="8"/>
          <w:rFonts w:hint="eastAsia" w:ascii="仿宋" w:hAnsi="仿宋" w:eastAsia="仿宋"/>
          <w:sz w:val="24"/>
          <w:highlight w:val="none"/>
          <w:lang w:val="en-US" w:eastAsia="zh-CN"/>
        </w:rPr>
        <w:t>953596164@qq.com</w:t>
      </w:r>
      <w:r>
        <w:rPr>
          <w:rFonts w:hint="eastAsia" w:ascii="仿宋" w:hAnsi="仿宋" w:eastAsia="仿宋"/>
          <w:color w:val="auto"/>
          <w:sz w:val="24"/>
          <w:highlight w:val="none"/>
          <w:u w:val="single"/>
          <w:lang w:val="en-US" w:eastAsia="zh-CN"/>
        </w:rPr>
        <w:fldChar w:fldCharType="end"/>
      </w:r>
      <w:r>
        <w:rPr>
          <w:rFonts w:hint="eastAsia" w:ascii="仿宋" w:hAnsi="仿宋" w:eastAsia="仿宋"/>
          <w:color w:val="auto"/>
          <w:sz w:val="24"/>
          <w:highlight w:val="none"/>
          <w:u w:val="single"/>
          <w:lang w:val="en-US" w:eastAsia="zh-CN"/>
        </w:rPr>
        <w:tab/>
      </w:r>
      <w:r>
        <w:rPr>
          <w:rFonts w:hint="eastAsia" w:ascii="仿宋" w:hAnsi="仿宋" w:eastAsia="仿宋"/>
          <w:color w:val="auto"/>
          <w:sz w:val="24"/>
          <w:highlight w:val="none"/>
          <w:u w:val="single"/>
          <w:lang w:eastAsia="zh-CN"/>
        </w:rPr>
        <w:t>，</w:t>
      </w:r>
      <w:r>
        <w:rPr>
          <w:rFonts w:hint="eastAsia" w:ascii="仿宋" w:hAnsi="仿宋" w:eastAsia="仿宋"/>
          <w:color w:val="auto"/>
          <w:sz w:val="24"/>
          <w:highlight w:val="none"/>
          <w:u w:val="none"/>
          <w:lang w:val="en-US" w:eastAsia="zh-CN"/>
        </w:rPr>
        <w:t>职务</w:t>
      </w:r>
      <w:r>
        <w:rPr>
          <w:rFonts w:hint="eastAsia" w:ascii="仿宋" w:hAnsi="仿宋" w:eastAsia="仿宋"/>
          <w:color w:val="auto"/>
          <w:sz w:val="24"/>
          <w:highlight w:val="none"/>
          <w:u w:val="single"/>
          <w:lang w:val="en-US" w:eastAsia="zh-CN"/>
        </w:rPr>
        <w:t xml:space="preserve">：案场经理 </w:t>
      </w:r>
      <w:r>
        <w:rPr>
          <w:rFonts w:hint="eastAsia" w:ascii="仿宋" w:hAnsi="仿宋" w:eastAsia="仿宋"/>
          <w:color w:val="auto"/>
          <w:sz w:val="24"/>
          <w:highlight w:val="none"/>
          <w:u w:val="single"/>
        </w:rPr>
        <w:t>。</w:t>
      </w:r>
    </w:p>
    <w:p w14:paraId="68B2F88F">
      <w:pPr>
        <w:adjustRightInd w:val="0"/>
        <w:snapToGrid w:val="0"/>
        <w:ind w:left="160" w:leftChars="76" w:firstLine="360" w:firstLineChars="150"/>
        <w:rPr>
          <w:rFonts w:ascii="仿宋" w:hAnsi="仿宋" w:eastAsia="仿宋"/>
          <w:color w:val="auto"/>
          <w:sz w:val="24"/>
          <w:highlight w:val="none"/>
          <w:u w:val="single"/>
        </w:rPr>
      </w:pPr>
      <w:r>
        <w:rPr>
          <w:rFonts w:hint="eastAsia" w:ascii="仿宋" w:hAnsi="仿宋" w:eastAsia="仿宋"/>
          <w:color w:val="auto"/>
          <w:sz w:val="24"/>
          <w:highlight w:val="none"/>
        </w:rPr>
        <w:t>乙方指定下列联络人员/授权代表:</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姚梦娜</w:t>
      </w:r>
      <w:r>
        <w:rPr>
          <w:rFonts w:hint="eastAsia" w:ascii="仿宋" w:hAnsi="仿宋" w:eastAsia="仿宋"/>
          <w:color w:val="auto"/>
          <w:sz w:val="24"/>
          <w:highlight w:val="none"/>
          <w:u w:val="single"/>
        </w:rPr>
        <w:t xml:space="preserve"> ，身份证号：</w:t>
      </w:r>
      <w:r>
        <w:rPr>
          <w:rFonts w:hint="eastAsia" w:ascii="仿宋" w:hAnsi="仿宋" w:eastAsia="仿宋"/>
          <w:color w:val="auto"/>
          <w:sz w:val="24"/>
          <w:highlight w:val="none"/>
          <w:u w:val="single"/>
          <w:lang w:val="en-US" w:eastAsia="zh-CN"/>
        </w:rPr>
        <w:t>650103199508314729</w:t>
      </w:r>
      <w:r>
        <w:rPr>
          <w:rFonts w:hint="eastAsia" w:ascii="仿宋" w:hAnsi="仿宋" w:eastAsia="仿宋"/>
          <w:color w:val="auto"/>
          <w:sz w:val="24"/>
          <w:highlight w:val="none"/>
          <w:u w:val="single"/>
        </w:rPr>
        <w:t xml:space="preserve"> 联系电话： </w:t>
      </w:r>
      <w:r>
        <w:rPr>
          <w:rFonts w:hint="eastAsia" w:ascii="仿宋" w:hAnsi="仿宋" w:eastAsia="仿宋"/>
          <w:color w:val="auto"/>
          <w:sz w:val="24"/>
          <w:highlight w:val="none"/>
          <w:u w:val="single"/>
          <w:lang w:val="en-US" w:eastAsia="zh-CN"/>
        </w:rPr>
        <w:t>13579845720</w:t>
      </w:r>
      <w:r>
        <w:rPr>
          <w:rFonts w:hint="eastAsia" w:ascii="仿宋" w:hAnsi="仿宋" w:eastAsia="仿宋"/>
          <w:color w:val="auto"/>
          <w:sz w:val="24"/>
          <w:highlight w:val="none"/>
          <w:u w:val="single"/>
        </w:rPr>
        <w:t xml:space="preserve">  邮箱：</w:t>
      </w:r>
      <w:r>
        <w:rPr>
          <w:rFonts w:hint="eastAsia" w:ascii="仿宋" w:hAnsi="仿宋" w:eastAsia="仿宋"/>
          <w:color w:val="0000FF"/>
          <w:sz w:val="24"/>
          <w:highlight w:val="none"/>
          <w:u w:val="single"/>
          <w:lang w:val="en-US" w:eastAsia="zh-CN"/>
        </w:rPr>
        <w:t>593223752@qq.com</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u w:val="single"/>
          <w:lang w:eastAsia="zh-CN"/>
        </w:rPr>
        <w:t>，</w:t>
      </w:r>
      <w:r>
        <w:rPr>
          <w:rFonts w:hint="eastAsia" w:ascii="仿宋" w:hAnsi="仿宋" w:eastAsia="仿宋"/>
          <w:color w:val="auto"/>
          <w:sz w:val="24"/>
          <w:highlight w:val="none"/>
          <w:u w:val="none"/>
          <w:lang w:val="en-US" w:eastAsia="zh-CN"/>
        </w:rPr>
        <w:t>职务</w:t>
      </w:r>
      <w:r>
        <w:rPr>
          <w:rFonts w:hint="eastAsia" w:ascii="仿宋" w:hAnsi="仿宋" w:eastAsia="仿宋"/>
          <w:color w:val="auto"/>
          <w:sz w:val="24"/>
          <w:highlight w:val="none"/>
          <w:u w:val="single"/>
          <w:lang w:val="en-US" w:eastAsia="zh-CN"/>
        </w:rPr>
        <w:t xml:space="preserve">：项目经理  </w:t>
      </w:r>
      <w:r>
        <w:rPr>
          <w:rFonts w:hint="eastAsia" w:ascii="仿宋" w:hAnsi="仿宋" w:eastAsia="仿宋"/>
          <w:color w:val="auto"/>
          <w:sz w:val="24"/>
          <w:highlight w:val="none"/>
          <w:u w:val="single"/>
        </w:rPr>
        <w:t>。</w:t>
      </w:r>
    </w:p>
    <w:p w14:paraId="791E5FD9">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上述联络人员负责就本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履行过程中相关事宜向对方提出或接收建议、意见、函件、确认书等文书、签收发票等。若对方要求书面回复，除非另有说明，联络人员应在3个工作日内书面回复对方，若逾期未回复的，则视为相关文书无异议。</w:t>
      </w:r>
    </w:p>
    <w:p w14:paraId="496F9654">
      <w:pPr>
        <w:adjustRightInd w:val="0"/>
        <w:snapToGrid w:val="0"/>
        <w:ind w:left="40" w:leftChars="19" w:firstLine="480" w:firstLineChars="200"/>
        <w:rPr>
          <w:rFonts w:ascii="仿宋" w:hAnsi="仿宋" w:eastAsia="仿宋"/>
          <w:color w:val="auto"/>
          <w:sz w:val="24"/>
          <w:highlight w:val="none"/>
          <w:u w:val="single"/>
        </w:rPr>
      </w:pPr>
      <w:r>
        <w:rPr>
          <w:rFonts w:hint="eastAsia" w:ascii="仿宋" w:hAnsi="仿宋" w:eastAsia="仿宋"/>
          <w:color w:val="auto"/>
          <w:sz w:val="24"/>
          <w:highlight w:val="none"/>
        </w:rPr>
        <w:t>3.甲方联系地址为：</w:t>
      </w:r>
    </w:p>
    <w:p w14:paraId="4F40D655">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乙方联系地址：</w:t>
      </w:r>
    </w:p>
    <w:p w14:paraId="7319FD10">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任何与本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有关的文件（包括但不限于发票、对账单、结算单、催告函、诉讼、通知或仲裁、法院等裁判机关需送达的有关法律文件等一切文件）按该地址寄发后三日即视为送达对方。一方联系地址只能通过书面通知另一方的形式变更，并且自另一方收到该方书面通知之次日起，该变更方为有效。如任一方提供的上述送达地址不准确、送达地址变更未及时告知合同其他方或者其指定代收人拒绝签收等原因，导致相关通知或文书未能被其实际接收的，通知、文书退回之日即视为送达之日。</w:t>
      </w:r>
    </w:p>
    <w:p w14:paraId="4965851F">
      <w:pPr>
        <w:adjustRightInd w:val="0"/>
        <w:snapToGrid w:val="0"/>
        <w:ind w:left="40" w:leftChars="19" w:firstLine="480" w:firstLineChars="200"/>
        <w:rPr>
          <w:rFonts w:ascii="仿宋" w:hAnsi="仿宋" w:eastAsia="仿宋"/>
          <w:color w:val="auto"/>
          <w:sz w:val="24"/>
          <w:highlight w:val="none"/>
        </w:rPr>
      </w:pPr>
    </w:p>
    <w:p w14:paraId="345BCA02">
      <w:pPr>
        <w:adjustRightInd w:val="0"/>
        <w:snapToGrid w:val="0"/>
        <w:ind w:left="40" w:leftChars="19" w:firstLine="482" w:firstLineChars="200"/>
        <w:rPr>
          <w:rFonts w:ascii="仿宋" w:hAnsi="仿宋" w:eastAsia="仿宋"/>
          <w:b/>
          <w:color w:val="auto"/>
          <w:sz w:val="24"/>
          <w:highlight w:val="none"/>
        </w:rPr>
      </w:pPr>
      <w:r>
        <w:rPr>
          <w:rFonts w:hint="eastAsia" w:ascii="仿宋" w:hAnsi="仿宋" w:eastAsia="仿宋"/>
          <w:b/>
          <w:color w:val="auto"/>
          <w:sz w:val="24"/>
          <w:highlight w:val="none"/>
        </w:rPr>
        <w:t>第十五条 其他约定</w:t>
      </w:r>
    </w:p>
    <w:p w14:paraId="7311FC64">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本合同一式肆份，甲乙双方执贰份，具有同等法律效力。</w:t>
      </w:r>
      <w:r>
        <w:rPr>
          <w:rFonts w:hint="eastAsia" w:ascii="仿宋_GB2312" w:hAnsi="Arial" w:eastAsia="仿宋_GB2312"/>
          <w:bCs/>
          <w:color w:val="auto"/>
          <w:sz w:val="24"/>
          <w:highlight w:val="none"/>
        </w:rPr>
        <w:t>本</w:t>
      </w:r>
      <w:r>
        <w:rPr>
          <w:rFonts w:hint="eastAsia" w:ascii="仿宋_GB2312" w:hAnsi="Arial" w:eastAsia="仿宋_GB2312"/>
          <w:bCs/>
          <w:color w:val="auto"/>
          <w:sz w:val="24"/>
          <w:highlight w:val="none"/>
          <w:lang w:eastAsia="zh-CN"/>
        </w:rPr>
        <w:t>合同</w:t>
      </w:r>
      <w:r>
        <w:rPr>
          <w:rFonts w:hint="eastAsia" w:ascii="仿宋_GB2312" w:hAnsi="Arial" w:eastAsia="仿宋_GB2312"/>
          <w:bCs/>
          <w:color w:val="auto"/>
          <w:sz w:val="24"/>
          <w:highlight w:val="none"/>
        </w:rPr>
        <w:t>未尽事宜，双方另行协商解决。本</w:t>
      </w:r>
      <w:r>
        <w:rPr>
          <w:rFonts w:hint="eastAsia" w:ascii="仿宋_GB2312" w:hAnsi="Arial" w:eastAsia="仿宋_GB2312"/>
          <w:bCs/>
          <w:color w:val="auto"/>
          <w:sz w:val="24"/>
          <w:highlight w:val="none"/>
          <w:lang w:eastAsia="zh-CN"/>
        </w:rPr>
        <w:t>合同</w:t>
      </w:r>
      <w:r>
        <w:rPr>
          <w:rFonts w:hint="eastAsia" w:ascii="仿宋_GB2312" w:hAnsi="Arial" w:eastAsia="仿宋_GB2312"/>
          <w:bCs/>
          <w:color w:val="auto"/>
          <w:sz w:val="24"/>
          <w:highlight w:val="none"/>
        </w:rPr>
        <w:t>所附的所有附件具有与正文同等的法律效力。</w:t>
      </w:r>
    </w:p>
    <w:p w14:paraId="7D49A6E1">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本合同经甲乙双方协商同意后可签订变更或者补充</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，与本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具有同等法律效力，变更或者补充</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与本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不一致的，以变更或者补充</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为准。</w:t>
      </w:r>
    </w:p>
    <w:p w14:paraId="6DB1FC32">
      <w:pPr>
        <w:adjustRightInd w:val="0"/>
        <w:snapToGrid w:val="0"/>
        <w:ind w:left="40" w:leftChars="19" w:firstLine="480" w:firstLineChars="200"/>
        <w:rPr>
          <w:rFonts w:ascii="仿宋" w:hAnsi="仿宋" w:eastAsia="仿宋"/>
          <w:color w:val="auto"/>
          <w:sz w:val="24"/>
          <w:highlight w:val="none"/>
        </w:rPr>
      </w:pPr>
      <w:r>
        <w:rPr>
          <w:rFonts w:ascii="仿宋" w:hAnsi="仿宋" w:eastAsia="仿宋"/>
          <w:color w:val="auto"/>
          <w:sz w:val="24"/>
          <w:highlight w:val="none"/>
        </w:rPr>
        <w:t>3.</w:t>
      </w:r>
      <w:r>
        <w:rPr>
          <w:rFonts w:hint="eastAsia" w:ascii="仿宋" w:hAnsi="仿宋" w:eastAsia="仿宋"/>
          <w:color w:val="auto"/>
          <w:sz w:val="24"/>
          <w:highlight w:val="none"/>
        </w:rPr>
        <w:t>本合同自双方盖章之日起生效，本合同将保持其效力直至双方完全履行合同项下的所有义务并且各方之间的所有付款和索赔（若有）已经结清。</w:t>
      </w:r>
    </w:p>
    <w:p w14:paraId="590029CC">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4.甲乙双方在履行合同中双方或任一方所签字或盖章确认的全部资料文件均为一式两份，甲乙双方各执一份。甲方对本合同含附件下所有提及的甲方人员的签字效力均予以认可。</w:t>
      </w:r>
    </w:p>
    <w:p w14:paraId="71540C20">
      <w:pPr>
        <w:adjustRightInd w:val="0"/>
        <w:snapToGrid w:val="0"/>
        <w:ind w:left="40" w:leftChars="19" w:firstLine="480" w:firstLineChars="200"/>
        <w:rPr>
          <w:rFonts w:ascii="仿宋" w:hAnsi="仿宋" w:eastAsia="仿宋"/>
          <w:color w:val="auto"/>
          <w:sz w:val="24"/>
          <w:highlight w:val="none"/>
        </w:rPr>
      </w:pPr>
      <w:r>
        <w:rPr>
          <w:rFonts w:hint="eastAsia" w:ascii="仿宋" w:hAnsi="仿宋" w:eastAsia="仿宋"/>
          <w:color w:val="auto"/>
          <w:sz w:val="24"/>
          <w:highlight w:val="none"/>
        </w:rPr>
        <w:t>5.本合同与甲方之前就项目所出具的进场确认函/合作确认函或类似文件（如有）不一致的，以本合同内容为准。</w:t>
      </w:r>
    </w:p>
    <w:p w14:paraId="01DD31B4">
      <w:pPr>
        <w:adjustRightInd w:val="0"/>
        <w:snapToGrid w:val="0"/>
        <w:ind w:left="40" w:leftChars="19"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6.如果本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中的任何条款无论因何种原因完全或部分无效或不具有执行力，或违反任何适用的法律，不影响本</w:t>
      </w:r>
      <w:r>
        <w:rPr>
          <w:rFonts w:hint="eastAsia" w:ascii="仿宋" w:hAnsi="仿宋" w:eastAsia="仿宋"/>
          <w:color w:val="auto"/>
          <w:sz w:val="24"/>
          <w:highlight w:val="none"/>
          <w:lang w:eastAsia="zh-CN"/>
        </w:rPr>
        <w:t>合同</w:t>
      </w:r>
      <w:r>
        <w:rPr>
          <w:rFonts w:hint="eastAsia" w:ascii="仿宋" w:hAnsi="仿宋" w:eastAsia="仿宋"/>
          <w:color w:val="auto"/>
          <w:sz w:val="24"/>
          <w:highlight w:val="none"/>
        </w:rPr>
        <w:t>的其余条款的效力。</w:t>
      </w:r>
    </w:p>
    <w:p w14:paraId="63A64DDC">
      <w:pPr>
        <w:adjustRightInd w:val="0"/>
        <w:snapToGrid w:val="0"/>
        <w:ind w:left="40" w:leftChars="19" w:firstLine="480" w:firstLineChars="200"/>
        <w:rPr>
          <w:rFonts w:hint="eastAsia" w:ascii="仿宋" w:hAnsi="仿宋" w:eastAsia="仿宋"/>
          <w:color w:val="auto"/>
          <w:sz w:val="24"/>
          <w:highlight w:val="none"/>
        </w:rPr>
      </w:pPr>
    </w:p>
    <w:p w14:paraId="6EAC85F6">
      <w:pPr>
        <w:adjustRightInd w:val="0"/>
        <w:snapToGrid w:val="0"/>
        <w:ind w:left="40" w:leftChars="19" w:firstLine="480" w:firstLineChars="200"/>
        <w:rPr>
          <w:rFonts w:hint="eastAsia" w:ascii="仿宋" w:hAnsi="仿宋" w:eastAsia="仿宋"/>
          <w:color w:val="auto"/>
          <w:sz w:val="24"/>
          <w:highlight w:val="none"/>
        </w:rPr>
      </w:pPr>
    </w:p>
    <w:p w14:paraId="0FFCF82E">
      <w:pPr>
        <w:widowControl/>
        <w:snapToGrid w:val="0"/>
        <w:ind w:firstLine="2640" w:firstLineChars="1100"/>
        <w:jc w:val="left"/>
        <w:rPr>
          <w:rFonts w:hint="eastAsia" w:ascii="仿宋" w:hAnsi="仿宋" w:eastAsia="仿宋"/>
          <w:color w:val="auto"/>
          <w:sz w:val="24"/>
          <w:highlight w:val="none"/>
        </w:rPr>
      </w:pPr>
    </w:p>
    <w:p w14:paraId="66DE4876">
      <w:pPr>
        <w:widowControl/>
        <w:snapToGrid w:val="0"/>
        <w:ind w:firstLine="0" w:firstLineChars="0"/>
        <w:jc w:val="left"/>
        <w:rPr>
          <w:rFonts w:hint="eastAsia" w:ascii="仿宋" w:hAnsi="仿宋" w:eastAsia="仿宋"/>
          <w:color w:val="auto"/>
          <w:sz w:val="24"/>
          <w:highlight w:val="none"/>
        </w:rPr>
      </w:pPr>
    </w:p>
    <w:p w14:paraId="281136C2">
      <w:pPr>
        <w:widowControl/>
        <w:snapToGrid w:val="0"/>
        <w:ind w:firstLine="2640" w:firstLineChars="1100"/>
        <w:jc w:val="left"/>
        <w:rPr>
          <w:rFonts w:hint="eastAsia" w:ascii="仿宋" w:hAnsi="仿宋" w:eastAsia="仿宋"/>
          <w:color w:val="auto"/>
          <w:sz w:val="24"/>
          <w:highlight w:val="none"/>
        </w:rPr>
      </w:pPr>
    </w:p>
    <w:p w14:paraId="0B6A4C51">
      <w:pPr>
        <w:widowControl/>
        <w:snapToGrid w:val="0"/>
        <w:ind w:firstLine="2640" w:firstLineChars="1100"/>
        <w:jc w:val="left"/>
        <w:rPr>
          <w:rFonts w:ascii="仿宋" w:hAnsi="仿宋" w:eastAsia="仿宋"/>
          <w:color w:val="auto"/>
          <w:sz w:val="24"/>
          <w:highlight w:val="none"/>
        </w:rPr>
      </w:pPr>
      <w:r>
        <w:rPr>
          <w:rFonts w:hint="eastAsia" w:ascii="仿宋" w:hAnsi="仿宋" w:eastAsia="仿宋"/>
          <w:color w:val="auto"/>
          <w:sz w:val="24"/>
          <w:highlight w:val="none"/>
        </w:rPr>
        <w:t>（以下为附件及签署栏，无正文）</w:t>
      </w:r>
    </w:p>
    <w:p w14:paraId="66622E5F">
      <w:pPr>
        <w:widowControl/>
        <w:snapToGrid w:val="0"/>
        <w:ind w:firstLine="2640" w:firstLineChars="1100"/>
        <w:jc w:val="left"/>
        <w:rPr>
          <w:rFonts w:ascii="仿宋" w:hAnsi="仿宋" w:eastAsia="仿宋"/>
          <w:color w:val="auto"/>
          <w:sz w:val="24"/>
          <w:highlight w:val="none"/>
        </w:rPr>
      </w:pPr>
    </w:p>
    <w:p w14:paraId="7422867A">
      <w:pPr>
        <w:adjustRightInd w:val="0"/>
        <w:snapToGrid w:val="0"/>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附件（若以下与实际使用不一致的，则以实际使用为准</w:t>
      </w:r>
      <w:r>
        <w:rPr>
          <w:rFonts w:hint="eastAsia" w:ascii="仿宋" w:hAnsi="仿宋" w:eastAsia="仿宋"/>
          <w:color w:val="auto"/>
          <w:sz w:val="24"/>
          <w:szCs w:val="28"/>
          <w:highlight w:val="none"/>
          <w:lang w:eastAsia="zh-CN"/>
        </w:rPr>
        <w:t>，</w:t>
      </w:r>
      <w:r>
        <w:rPr>
          <w:rFonts w:hint="eastAsia" w:ascii="仿宋" w:hAnsi="仿宋" w:eastAsia="仿宋"/>
          <w:color w:val="auto"/>
          <w:sz w:val="24"/>
          <w:szCs w:val="28"/>
          <w:highlight w:val="none"/>
          <w:lang w:val="en-US" w:eastAsia="zh-CN"/>
        </w:rPr>
        <w:t>不影响佣金结算</w:t>
      </w:r>
      <w:r>
        <w:rPr>
          <w:rFonts w:hint="eastAsia" w:ascii="仿宋" w:hAnsi="仿宋" w:eastAsia="仿宋"/>
          <w:color w:val="auto"/>
          <w:sz w:val="24"/>
          <w:szCs w:val="28"/>
          <w:highlight w:val="none"/>
        </w:rPr>
        <w:t>）：</w:t>
      </w:r>
    </w:p>
    <w:p w14:paraId="14FE53E5">
      <w:pPr>
        <w:adjustRightInd w:val="0"/>
        <w:snapToGrid w:val="0"/>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附件一：《</w:t>
      </w:r>
      <w:r>
        <w:rPr>
          <w:rFonts w:ascii="仿宋" w:hAnsi="仿宋" w:eastAsia="仿宋"/>
          <w:color w:val="auto"/>
          <w:sz w:val="24"/>
          <w:szCs w:val="28"/>
          <w:highlight w:val="none"/>
        </w:rPr>
        <w:t>项目客户确认单</w:t>
      </w:r>
      <w:r>
        <w:rPr>
          <w:rFonts w:hint="eastAsia" w:ascii="仿宋" w:hAnsi="仿宋" w:eastAsia="仿宋"/>
          <w:color w:val="auto"/>
          <w:sz w:val="24"/>
          <w:szCs w:val="28"/>
          <w:highlight w:val="none"/>
        </w:rPr>
        <w:t>》</w:t>
      </w:r>
    </w:p>
    <w:p w14:paraId="3DFEC28E">
      <w:pPr>
        <w:adjustRightInd w:val="0"/>
        <w:snapToGrid w:val="0"/>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附件二：《项目成功销售确认单》</w:t>
      </w:r>
    </w:p>
    <w:p w14:paraId="73DA2847">
      <w:pPr>
        <w:adjustRightInd w:val="0"/>
        <w:snapToGrid w:val="0"/>
        <w:ind w:firstLine="480" w:firstLineChars="200"/>
        <w:jc w:val="left"/>
        <w:rPr>
          <w:rFonts w:hint="eastAsia" w:ascii="仿宋" w:hAnsi="仿宋" w:eastAsia="仿宋"/>
          <w:color w:val="auto"/>
          <w:sz w:val="24"/>
          <w:szCs w:val="28"/>
          <w:highlight w:val="none"/>
        </w:rPr>
      </w:pPr>
      <w:r>
        <w:rPr>
          <w:rFonts w:hint="eastAsia" w:ascii="仿宋" w:hAnsi="仿宋" w:eastAsia="仿宋"/>
          <w:color w:val="auto"/>
          <w:sz w:val="24"/>
          <w:szCs w:val="28"/>
          <w:highlight w:val="none"/>
        </w:rPr>
        <w:t>附件三：《项目对账结算单》</w:t>
      </w:r>
    </w:p>
    <w:p w14:paraId="00FB3EE2">
      <w:pPr>
        <w:adjustRightInd w:val="0"/>
        <w:snapToGrid w:val="0"/>
        <w:ind w:firstLine="480" w:firstLineChars="200"/>
        <w:jc w:val="left"/>
        <w:rPr>
          <w:rFonts w:hint="eastAsia" w:ascii="仿宋" w:hAnsi="仿宋" w:eastAsia="仿宋"/>
          <w:color w:val="auto"/>
          <w:sz w:val="24"/>
          <w:highlight w:val="none"/>
          <w:u w:val="none"/>
          <w:shd w:val="clear" w:color="auto" w:fill="auto"/>
        </w:rPr>
      </w:pPr>
      <w:r>
        <w:rPr>
          <w:rFonts w:hint="eastAsia" w:ascii="仿宋" w:hAnsi="仿宋" w:eastAsia="仿宋"/>
          <w:color w:val="auto"/>
          <w:sz w:val="24"/>
          <w:highlight w:val="none"/>
          <w:u w:val="none"/>
          <w:shd w:val="clear" w:color="auto" w:fill="auto"/>
        </w:rPr>
        <w:t>附件四</w:t>
      </w:r>
      <w:r>
        <w:rPr>
          <w:rFonts w:hint="eastAsia" w:ascii="仿宋" w:hAnsi="仿宋" w:eastAsia="仿宋"/>
          <w:color w:val="auto"/>
          <w:sz w:val="24"/>
          <w:highlight w:val="none"/>
          <w:u w:val="none"/>
          <w:shd w:val="clear" w:color="auto" w:fill="auto"/>
          <w:lang w:eastAsia="zh-CN"/>
        </w:rPr>
        <w:t>：</w:t>
      </w:r>
      <w:r>
        <w:rPr>
          <w:rFonts w:hint="eastAsia" w:ascii="仿宋" w:hAnsi="仿宋" w:eastAsia="仿宋"/>
          <w:color w:val="auto"/>
          <w:sz w:val="24"/>
          <w:highlight w:val="none"/>
          <w:u w:val="none"/>
          <w:shd w:val="clear" w:color="auto" w:fill="auto"/>
        </w:rPr>
        <w:t>《授权销售房源清单》</w:t>
      </w:r>
    </w:p>
    <w:p w14:paraId="0CE356D3">
      <w:pPr>
        <w:adjustRightInd w:val="0"/>
        <w:snapToGrid w:val="0"/>
        <w:ind w:firstLine="480" w:firstLineChars="200"/>
        <w:jc w:val="left"/>
        <w:rPr>
          <w:rFonts w:hint="eastAsia" w:ascii="仿宋" w:hAnsi="仿宋" w:eastAsia="仿宋"/>
          <w:color w:val="auto"/>
          <w:sz w:val="24"/>
          <w:highlight w:val="none"/>
          <w:u w:val="none"/>
          <w:shd w:val="clear" w:color="auto" w:fill="auto"/>
          <w:lang w:val="en-US" w:eastAsia="zh-CN"/>
        </w:rPr>
      </w:pPr>
      <w:r>
        <w:rPr>
          <w:rFonts w:hint="eastAsia" w:ascii="仿宋" w:hAnsi="仿宋" w:eastAsia="仿宋"/>
          <w:color w:val="auto"/>
          <w:sz w:val="24"/>
          <w:highlight w:val="none"/>
          <w:u w:val="none"/>
          <w:shd w:val="clear" w:color="auto" w:fill="auto"/>
          <w:lang w:val="en-US" w:eastAsia="zh-CN"/>
        </w:rPr>
        <w:t>附件五：《销售房源一房一价表》</w:t>
      </w:r>
    </w:p>
    <w:p w14:paraId="6DB0E807">
      <w:pPr>
        <w:adjustRightInd w:val="0"/>
        <w:snapToGrid w:val="0"/>
        <w:ind w:firstLine="480" w:firstLineChars="200"/>
        <w:rPr>
          <w:rFonts w:ascii="仿宋" w:hAnsi="仿宋" w:eastAsia="仿宋"/>
          <w:color w:val="auto"/>
          <w:sz w:val="24"/>
          <w:highlight w:val="none"/>
        </w:rPr>
      </w:pPr>
    </w:p>
    <w:p w14:paraId="5ACDB1F3">
      <w:pPr>
        <w:adjustRightInd w:val="0"/>
        <w:snapToGrid w:val="0"/>
        <w:ind w:firstLine="480" w:firstLineChars="200"/>
        <w:rPr>
          <w:rFonts w:ascii="仿宋" w:hAnsi="仿宋" w:eastAsia="仿宋"/>
          <w:color w:val="auto"/>
          <w:sz w:val="24"/>
          <w:highlight w:val="none"/>
        </w:rPr>
      </w:pPr>
    </w:p>
    <w:p w14:paraId="54722AC1">
      <w:pPr>
        <w:adjustRightInd w:val="0"/>
        <w:snapToGrid w:val="0"/>
        <w:ind w:firstLine="480" w:firstLineChars="200"/>
        <w:rPr>
          <w:rFonts w:ascii="仿宋" w:hAnsi="仿宋" w:eastAsia="仿宋"/>
          <w:color w:val="auto"/>
          <w:sz w:val="24"/>
          <w:highlight w:val="none"/>
        </w:rPr>
        <w:sectPr>
          <w:footerReference r:id="rId5" w:type="default"/>
          <w:pgSz w:w="11906" w:h="16838"/>
          <w:pgMar w:top="1440" w:right="1080" w:bottom="1440" w:left="1080" w:header="851" w:footer="992" w:gutter="0"/>
          <w:pgNumType w:fmt="decimal" w:start="1"/>
          <w:cols w:space="720" w:num="1"/>
          <w:docGrid w:type="lines" w:linePitch="312" w:charSpace="0"/>
        </w:sectPr>
      </w:pPr>
    </w:p>
    <w:p w14:paraId="7CF77671">
      <w:pPr>
        <w:adjustRightInd w:val="0"/>
        <w:snapToGrid w:val="0"/>
        <w:ind w:firstLine="0" w:firstLineChars="0"/>
        <w:rPr>
          <w:rFonts w:hint="eastAsia" w:ascii="仿宋" w:hAnsi="仿宋" w:eastAsia="仿宋"/>
          <w:color w:val="auto"/>
          <w:sz w:val="24"/>
          <w:highlight w:val="none"/>
        </w:rPr>
      </w:pPr>
    </w:p>
    <w:p w14:paraId="2222EC67">
      <w:pPr>
        <w:adjustRightInd w:val="0"/>
        <w:snapToGrid w:val="0"/>
        <w:ind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rPr>
        <w:t>甲方（盖章）</w:t>
      </w:r>
      <w:r>
        <w:rPr>
          <w:rFonts w:hint="eastAsia" w:ascii="仿宋" w:hAnsi="仿宋" w:eastAsia="仿宋"/>
          <w:color w:val="auto"/>
          <w:sz w:val="24"/>
          <w:highlight w:val="none"/>
          <w:lang w:val="en-US" w:eastAsia="zh-CN"/>
        </w:rPr>
        <w:t>:</w:t>
      </w:r>
    </w:p>
    <w:p w14:paraId="4E123901">
      <w:pPr>
        <w:adjustRightInd w:val="0"/>
        <w:snapToGrid w:val="0"/>
        <w:ind w:firstLine="480" w:firstLineChars="200"/>
        <w:rPr>
          <w:rFonts w:hint="eastAsia" w:ascii="仿宋" w:hAnsi="仿宋" w:eastAsia="仿宋"/>
          <w:color w:val="auto"/>
          <w:sz w:val="24"/>
          <w:highlight w:val="none"/>
          <w:lang w:val="en-US" w:eastAsia="zh-CN"/>
        </w:rPr>
      </w:pPr>
    </w:p>
    <w:p w14:paraId="0345FDA3">
      <w:pPr>
        <w:adjustRightInd w:val="0"/>
        <w:snapToGrid w:val="0"/>
        <w:ind w:firstLine="480" w:firstLineChars="200"/>
        <w:rPr>
          <w:rFonts w:hint="eastAsia" w:ascii="仿宋" w:hAnsi="仿宋" w:eastAsia="仿宋"/>
          <w:color w:val="auto"/>
          <w:sz w:val="24"/>
          <w:highlight w:val="none"/>
          <w:lang w:val="en-US" w:eastAsia="zh-CN"/>
        </w:rPr>
      </w:pPr>
    </w:p>
    <w:p w14:paraId="1DADD8D2">
      <w:pPr>
        <w:adjustRightInd w:val="0"/>
        <w:snapToGrid w:val="0"/>
        <w:ind w:firstLine="480" w:firstLineChars="200"/>
        <w:rPr>
          <w:rFonts w:hint="eastAsia" w:ascii="仿宋" w:hAnsi="仿宋" w:eastAsia="仿宋"/>
          <w:color w:val="auto"/>
          <w:sz w:val="24"/>
          <w:highlight w:val="none"/>
        </w:rPr>
      </w:pPr>
    </w:p>
    <w:p w14:paraId="383D1487">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法定代表人</w:t>
      </w:r>
      <w:r>
        <w:rPr>
          <w:rFonts w:ascii="仿宋" w:hAnsi="仿宋" w:eastAsia="仿宋"/>
          <w:color w:val="auto"/>
          <w:sz w:val="24"/>
          <w:highlight w:val="none"/>
        </w:rPr>
        <w:t>/</w:t>
      </w:r>
      <w:r>
        <w:rPr>
          <w:rFonts w:hint="eastAsia" w:ascii="仿宋" w:hAnsi="仿宋" w:eastAsia="仿宋"/>
          <w:color w:val="auto"/>
          <w:sz w:val="24"/>
          <w:highlight w:val="none"/>
        </w:rPr>
        <w:t>授权代表</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签字/盖章）</w:t>
      </w:r>
      <w:r>
        <w:rPr>
          <w:rFonts w:hint="eastAsia" w:ascii="仿宋" w:hAnsi="仿宋" w:eastAsia="仿宋"/>
          <w:color w:val="auto"/>
          <w:sz w:val="24"/>
          <w:highlight w:val="none"/>
        </w:rPr>
        <w:t>：</w:t>
      </w:r>
    </w:p>
    <w:p w14:paraId="48A7CEE8">
      <w:pPr>
        <w:adjustRightInd w:val="0"/>
        <w:snapToGrid w:val="0"/>
        <w:ind w:firstLine="480" w:firstLineChars="200"/>
        <w:rPr>
          <w:rFonts w:hint="eastAsia" w:ascii="仿宋" w:hAnsi="仿宋" w:eastAsia="仿宋"/>
          <w:color w:val="auto"/>
          <w:sz w:val="24"/>
          <w:highlight w:val="none"/>
        </w:rPr>
      </w:pPr>
    </w:p>
    <w:p w14:paraId="2653303B">
      <w:pPr>
        <w:adjustRightInd w:val="0"/>
        <w:snapToGrid w:val="0"/>
        <w:ind w:firstLine="480" w:firstLineChars="200"/>
        <w:rPr>
          <w:rFonts w:hint="eastAsia" w:ascii="仿宋" w:hAnsi="仿宋" w:eastAsia="仿宋"/>
          <w:color w:val="auto"/>
          <w:sz w:val="24"/>
          <w:highlight w:val="none"/>
        </w:rPr>
      </w:pPr>
    </w:p>
    <w:p w14:paraId="4068A0F4">
      <w:pPr>
        <w:snapToGrid w:val="0"/>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日期：  年  月  日</w:t>
      </w:r>
    </w:p>
    <w:p w14:paraId="794A16CF">
      <w:pPr>
        <w:snapToGrid w:val="0"/>
        <w:ind w:firstLine="480" w:firstLineChars="200"/>
        <w:jc w:val="left"/>
        <w:rPr>
          <w:rFonts w:hint="eastAsia" w:ascii="仿宋" w:hAnsi="仿宋" w:eastAsia="仿宋"/>
          <w:color w:val="auto"/>
          <w:sz w:val="24"/>
          <w:highlight w:val="none"/>
        </w:rPr>
      </w:pPr>
    </w:p>
    <w:p w14:paraId="6ADE4799">
      <w:pPr>
        <w:snapToGrid w:val="0"/>
        <w:ind w:firstLine="480" w:firstLineChars="200"/>
        <w:jc w:val="left"/>
        <w:rPr>
          <w:rFonts w:hint="eastAsia" w:ascii="仿宋" w:hAnsi="仿宋" w:eastAsia="仿宋"/>
          <w:color w:val="auto"/>
          <w:sz w:val="24"/>
          <w:highlight w:val="none"/>
        </w:rPr>
      </w:pPr>
    </w:p>
    <w:p w14:paraId="0C68D7D9">
      <w:pPr>
        <w:snapToGrid w:val="0"/>
        <w:ind w:firstLine="480" w:firstLineChars="200"/>
        <w:jc w:val="left"/>
        <w:rPr>
          <w:rFonts w:hint="eastAsia" w:ascii="仿宋" w:hAnsi="仿宋" w:eastAsia="仿宋"/>
          <w:color w:val="auto"/>
          <w:sz w:val="24"/>
          <w:highlight w:val="none"/>
        </w:rPr>
      </w:pPr>
    </w:p>
    <w:p w14:paraId="4215F31C">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乙方（盖章）：</w:t>
      </w:r>
    </w:p>
    <w:p w14:paraId="63BC48F2">
      <w:pPr>
        <w:adjustRightInd w:val="0"/>
        <w:snapToGrid w:val="0"/>
        <w:ind w:firstLine="480" w:firstLineChars="200"/>
        <w:rPr>
          <w:rFonts w:hint="eastAsia" w:ascii="仿宋" w:hAnsi="仿宋" w:eastAsia="仿宋"/>
          <w:color w:val="auto"/>
          <w:sz w:val="24"/>
          <w:highlight w:val="none"/>
        </w:rPr>
      </w:pPr>
    </w:p>
    <w:p w14:paraId="78164553">
      <w:pPr>
        <w:adjustRightInd w:val="0"/>
        <w:snapToGrid w:val="0"/>
        <w:ind w:firstLine="480" w:firstLineChars="200"/>
        <w:rPr>
          <w:rFonts w:hint="eastAsia" w:ascii="仿宋" w:hAnsi="仿宋" w:eastAsia="仿宋"/>
          <w:color w:val="auto"/>
          <w:sz w:val="24"/>
          <w:highlight w:val="none"/>
        </w:rPr>
      </w:pPr>
    </w:p>
    <w:p w14:paraId="41F7AB54">
      <w:pPr>
        <w:adjustRightInd w:val="0"/>
        <w:snapToGrid w:val="0"/>
        <w:ind w:firstLine="480" w:firstLineChars="200"/>
        <w:rPr>
          <w:rFonts w:hint="eastAsia" w:ascii="仿宋" w:hAnsi="仿宋" w:eastAsia="仿宋"/>
          <w:color w:val="auto"/>
          <w:sz w:val="24"/>
          <w:highlight w:val="none"/>
        </w:rPr>
      </w:pPr>
    </w:p>
    <w:p w14:paraId="1295C724">
      <w:pPr>
        <w:adjustRightInd w:val="0"/>
        <w:snapToGrid w:val="0"/>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法定代表人</w:t>
      </w:r>
      <w:r>
        <w:rPr>
          <w:rFonts w:ascii="仿宋" w:hAnsi="仿宋" w:eastAsia="仿宋"/>
          <w:color w:val="auto"/>
          <w:sz w:val="24"/>
          <w:highlight w:val="none"/>
        </w:rPr>
        <w:t>/</w:t>
      </w:r>
      <w:r>
        <w:rPr>
          <w:rFonts w:hint="eastAsia" w:ascii="仿宋" w:hAnsi="仿宋" w:eastAsia="仿宋"/>
          <w:color w:val="auto"/>
          <w:sz w:val="24"/>
          <w:highlight w:val="none"/>
        </w:rPr>
        <w:t>授权代表</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签字/盖章）</w:t>
      </w:r>
      <w:r>
        <w:rPr>
          <w:rFonts w:hint="eastAsia" w:ascii="仿宋" w:hAnsi="仿宋" w:eastAsia="仿宋"/>
          <w:color w:val="auto"/>
          <w:sz w:val="24"/>
          <w:highlight w:val="none"/>
        </w:rPr>
        <w:t>：</w:t>
      </w:r>
    </w:p>
    <w:p w14:paraId="761BADDC">
      <w:pPr>
        <w:adjustRightInd w:val="0"/>
        <w:snapToGrid w:val="0"/>
        <w:ind w:firstLine="480" w:firstLineChars="200"/>
        <w:rPr>
          <w:rFonts w:hint="eastAsia" w:ascii="仿宋" w:hAnsi="仿宋" w:eastAsia="仿宋"/>
          <w:color w:val="auto"/>
          <w:sz w:val="24"/>
          <w:highlight w:val="none"/>
        </w:rPr>
      </w:pPr>
    </w:p>
    <w:p w14:paraId="72C1A2FD">
      <w:pPr>
        <w:adjustRightInd w:val="0"/>
        <w:snapToGrid w:val="0"/>
        <w:ind w:firstLine="480" w:firstLineChars="200"/>
        <w:rPr>
          <w:rFonts w:hint="eastAsia" w:ascii="仿宋" w:hAnsi="仿宋" w:eastAsia="仿宋"/>
          <w:color w:val="auto"/>
          <w:sz w:val="24"/>
          <w:highlight w:val="none"/>
        </w:rPr>
      </w:pPr>
    </w:p>
    <w:p w14:paraId="7C18B8D3">
      <w:pPr>
        <w:adjustRightInd w:val="0"/>
        <w:snapToGrid w:val="0"/>
        <w:ind w:firstLine="480" w:firstLineChars="200"/>
        <w:jc w:val="left"/>
        <w:rPr>
          <w:rFonts w:ascii="仿宋" w:hAnsi="仿宋" w:eastAsia="仿宋"/>
          <w:color w:val="auto"/>
          <w:sz w:val="24"/>
          <w:highlight w:val="none"/>
        </w:rPr>
        <w:sectPr>
          <w:pgSz w:w="11906" w:h="16838"/>
          <w:pgMar w:top="1440" w:right="1080" w:bottom="1440" w:left="1080" w:header="851" w:footer="992" w:gutter="0"/>
          <w:pgNumType w:fmt="decimal"/>
          <w:cols w:space="720" w:num="2"/>
          <w:docGrid w:type="lines" w:linePitch="312" w:charSpace="0"/>
        </w:sectPr>
      </w:pPr>
      <w:r>
        <w:rPr>
          <w:rFonts w:hint="eastAsia" w:ascii="仿宋" w:hAnsi="仿宋" w:eastAsia="仿宋"/>
          <w:color w:val="auto"/>
          <w:sz w:val="24"/>
          <w:highlight w:val="none"/>
        </w:rPr>
        <w:t xml:space="preserve">日期：   年   月   </w:t>
      </w:r>
    </w:p>
    <w:p w14:paraId="684BD4F5">
      <w:pPr>
        <w:spacing w:line="360" w:lineRule="auto"/>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附件一：《项目客户确认单》</w:t>
      </w:r>
    </w:p>
    <w:p w14:paraId="088010A2">
      <w:pPr>
        <w:tabs>
          <w:tab w:val="left" w:pos="810"/>
        </w:tabs>
        <w:adjustRightInd w:val="0"/>
        <w:snapToGrid w:val="0"/>
        <w:spacing w:line="360" w:lineRule="auto"/>
        <w:jc w:val="center"/>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项目客户确认单</w:t>
      </w:r>
    </w:p>
    <w:tbl>
      <w:tblPr>
        <w:tblStyle w:val="6"/>
        <w:tblW w:w="93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2"/>
        <w:gridCol w:w="2460"/>
        <w:gridCol w:w="93"/>
        <w:gridCol w:w="1892"/>
        <w:gridCol w:w="15"/>
        <w:gridCol w:w="2461"/>
      </w:tblGrid>
      <w:tr w14:paraId="169E7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4" w:hRule="atLeast"/>
          <w:jc w:val="center"/>
        </w:trPr>
        <w:tc>
          <w:tcPr>
            <w:tcW w:w="2462" w:type="dxa"/>
            <w:vAlign w:val="center"/>
          </w:tcPr>
          <w:p w14:paraId="07B5C60A">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客户姓名</w:t>
            </w:r>
          </w:p>
        </w:tc>
        <w:tc>
          <w:tcPr>
            <w:tcW w:w="2553" w:type="dxa"/>
            <w:gridSpan w:val="2"/>
            <w:vAlign w:val="center"/>
          </w:tcPr>
          <w:p w14:paraId="5696E96C">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907" w:type="dxa"/>
            <w:gridSpan w:val="2"/>
            <w:vAlign w:val="center"/>
          </w:tcPr>
          <w:p w14:paraId="7DABF8E7">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到访时间</w:t>
            </w:r>
          </w:p>
        </w:tc>
        <w:tc>
          <w:tcPr>
            <w:tcW w:w="2461" w:type="dxa"/>
            <w:vAlign w:val="center"/>
          </w:tcPr>
          <w:p w14:paraId="4B742F51">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年  月  日  时 分</w:t>
            </w:r>
          </w:p>
        </w:tc>
      </w:tr>
      <w:tr w14:paraId="73B67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3" w:hRule="atLeast"/>
          <w:jc w:val="center"/>
        </w:trPr>
        <w:tc>
          <w:tcPr>
            <w:tcW w:w="2462" w:type="dxa"/>
            <w:vAlign w:val="center"/>
          </w:tcPr>
          <w:p w14:paraId="469CBD7F">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客户电话</w:t>
            </w:r>
          </w:p>
        </w:tc>
        <w:tc>
          <w:tcPr>
            <w:tcW w:w="2553" w:type="dxa"/>
            <w:gridSpan w:val="2"/>
            <w:vAlign w:val="center"/>
          </w:tcPr>
          <w:p w14:paraId="68782ACE">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907" w:type="dxa"/>
            <w:gridSpan w:val="2"/>
            <w:vAlign w:val="center"/>
          </w:tcPr>
          <w:p w14:paraId="1EFF803B">
            <w:pPr>
              <w:adjustRightInd w:val="0"/>
              <w:snapToGrid w:val="0"/>
              <w:spacing w:line="360" w:lineRule="auto"/>
              <w:jc w:val="center"/>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lang w:val="en-US" w:eastAsia="zh-CN"/>
              </w:rPr>
              <w:t>备注</w:t>
            </w:r>
          </w:p>
        </w:tc>
        <w:tc>
          <w:tcPr>
            <w:tcW w:w="2461" w:type="dxa"/>
            <w:vAlign w:val="center"/>
          </w:tcPr>
          <w:p w14:paraId="58EC49DE">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66B95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2" w:hRule="atLeast"/>
          <w:jc w:val="center"/>
        </w:trPr>
        <w:tc>
          <w:tcPr>
            <w:tcW w:w="2462" w:type="dxa"/>
            <w:vAlign w:val="center"/>
          </w:tcPr>
          <w:p w14:paraId="10A06413">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分销公司</w:t>
            </w:r>
          </w:p>
        </w:tc>
        <w:tc>
          <w:tcPr>
            <w:tcW w:w="6921" w:type="dxa"/>
            <w:gridSpan w:val="5"/>
            <w:vAlign w:val="center"/>
          </w:tcPr>
          <w:p w14:paraId="2584A547">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20DF3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2462" w:type="dxa"/>
            <w:vAlign w:val="center"/>
          </w:tcPr>
          <w:p w14:paraId="28D7B96F">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经纪人姓名</w:t>
            </w:r>
          </w:p>
        </w:tc>
        <w:tc>
          <w:tcPr>
            <w:tcW w:w="2460" w:type="dxa"/>
            <w:tcBorders>
              <w:right w:val="single" w:color="auto" w:sz="4" w:space="0"/>
            </w:tcBorders>
            <w:vAlign w:val="center"/>
          </w:tcPr>
          <w:p w14:paraId="3415B766">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985" w:type="dxa"/>
            <w:gridSpan w:val="2"/>
            <w:tcBorders>
              <w:left w:val="single" w:color="auto" w:sz="4" w:space="0"/>
            </w:tcBorders>
            <w:vAlign w:val="center"/>
          </w:tcPr>
          <w:p w14:paraId="4B5974FA">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经纪人电话</w:t>
            </w:r>
          </w:p>
        </w:tc>
        <w:tc>
          <w:tcPr>
            <w:tcW w:w="2476" w:type="dxa"/>
            <w:gridSpan w:val="2"/>
            <w:vAlign w:val="center"/>
          </w:tcPr>
          <w:p w14:paraId="603ECA57">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11851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2462" w:type="dxa"/>
            <w:vAlign w:val="center"/>
          </w:tcPr>
          <w:p w14:paraId="03F5050A">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甲方系统确认</w:t>
            </w:r>
          </w:p>
        </w:tc>
        <w:tc>
          <w:tcPr>
            <w:tcW w:w="2460" w:type="dxa"/>
            <w:tcBorders>
              <w:right w:val="single" w:color="auto" w:sz="4" w:space="0"/>
            </w:tcBorders>
            <w:vAlign w:val="center"/>
          </w:tcPr>
          <w:p w14:paraId="0E02D825">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是□   否□</w:t>
            </w:r>
          </w:p>
        </w:tc>
        <w:tc>
          <w:tcPr>
            <w:tcW w:w="1985" w:type="dxa"/>
            <w:gridSpan w:val="2"/>
            <w:tcBorders>
              <w:left w:val="single" w:color="auto" w:sz="4" w:space="0"/>
            </w:tcBorders>
            <w:vAlign w:val="center"/>
          </w:tcPr>
          <w:p w14:paraId="348A6964">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甲方系统时间</w:t>
            </w:r>
          </w:p>
        </w:tc>
        <w:tc>
          <w:tcPr>
            <w:tcW w:w="2476" w:type="dxa"/>
            <w:gridSpan w:val="2"/>
            <w:vAlign w:val="center"/>
          </w:tcPr>
          <w:p w14:paraId="2807D3D8">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年  月  日  时 分</w:t>
            </w:r>
          </w:p>
        </w:tc>
      </w:tr>
      <w:tr w14:paraId="3501D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2462" w:type="dxa"/>
            <w:vAlign w:val="center"/>
          </w:tcPr>
          <w:p w14:paraId="719FA49F">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甲方销售人员</w:t>
            </w:r>
          </w:p>
        </w:tc>
        <w:tc>
          <w:tcPr>
            <w:tcW w:w="6921" w:type="dxa"/>
            <w:gridSpan w:val="5"/>
            <w:vAlign w:val="center"/>
          </w:tcPr>
          <w:p w14:paraId="252A5FE5">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06D81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4" w:hRule="atLeast"/>
          <w:jc w:val="center"/>
        </w:trPr>
        <w:tc>
          <w:tcPr>
            <w:tcW w:w="2462" w:type="dxa"/>
            <w:vAlign w:val="center"/>
          </w:tcPr>
          <w:p w14:paraId="1D7F3C27">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乙方签字</w:t>
            </w:r>
          </w:p>
        </w:tc>
        <w:tc>
          <w:tcPr>
            <w:tcW w:w="6921" w:type="dxa"/>
            <w:gridSpan w:val="5"/>
            <w:vAlign w:val="center"/>
          </w:tcPr>
          <w:p w14:paraId="78CD126D">
            <w:pPr>
              <w:tabs>
                <w:tab w:val="left" w:pos="1661"/>
              </w:tabs>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3F237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jc w:val="center"/>
        </w:trPr>
        <w:tc>
          <w:tcPr>
            <w:tcW w:w="2462" w:type="dxa"/>
            <w:vAlign w:val="center"/>
          </w:tcPr>
          <w:p w14:paraId="19059BFC">
            <w:pPr>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甲方签字</w:t>
            </w:r>
          </w:p>
        </w:tc>
        <w:tc>
          <w:tcPr>
            <w:tcW w:w="6921" w:type="dxa"/>
            <w:gridSpan w:val="5"/>
            <w:vAlign w:val="center"/>
          </w:tcPr>
          <w:p w14:paraId="2AF75B2E">
            <w:pPr>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bl>
    <w:p w14:paraId="729DDEF5">
      <w:pPr>
        <w:tabs>
          <w:tab w:val="left" w:pos="1260"/>
          <w:tab w:val="center" w:pos="4156"/>
        </w:tabs>
        <w:adjustRightInd w:val="0"/>
        <w:snapToGrid w:val="0"/>
        <w:spacing w:line="360" w:lineRule="auto"/>
        <w:ind w:firstLine="210" w:firstLineChars="100"/>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 xml:space="preserve">注：1. </w:t>
      </w:r>
      <w:r>
        <w:rPr>
          <w:rFonts w:hint="eastAsia" w:asciiTheme="minorEastAsia" w:hAnsiTheme="minorEastAsia" w:eastAsiaTheme="minorEastAsia" w:cstheme="minorEastAsia"/>
          <w:color w:val="auto"/>
          <w:kern w:val="0"/>
          <w:szCs w:val="21"/>
          <w:highlight w:val="none"/>
        </w:rPr>
        <w:t>本确认单一式三份，分销公司经纪人、甲方、乙方各执一份。</w:t>
      </w:r>
    </w:p>
    <w:p w14:paraId="4D8EB915">
      <w:pPr>
        <w:tabs>
          <w:tab w:val="left" w:pos="1260"/>
          <w:tab w:val="center" w:pos="4156"/>
        </w:tabs>
        <w:adjustRightInd w:val="0"/>
        <w:snapToGrid w:val="0"/>
        <w:spacing w:line="360" w:lineRule="auto"/>
        <w:ind w:firstLine="630" w:firstLineChars="300"/>
        <w:rPr>
          <w:rFonts w:hint="eastAsia" w:asciiTheme="minorEastAsia" w:hAnsiTheme="minorEastAsia" w:eastAsiaTheme="minorEastAsia" w:cstheme="minorEastAsia"/>
          <w:color w:val="auto"/>
          <w:kern w:val="0"/>
          <w:sz w:val="21"/>
          <w:szCs w:val="21"/>
          <w:highlight w:val="none"/>
        </w:rPr>
        <w:sectPr>
          <w:pgSz w:w="11906" w:h="16838"/>
          <w:pgMar w:top="1440" w:right="1080" w:bottom="1440" w:left="1080"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1"/>
          <w:szCs w:val="21"/>
          <w:highlight w:val="none"/>
          <w:lang w:val="en-US" w:eastAsia="zh-CN"/>
        </w:rPr>
        <w:t xml:space="preserve">2. </w:t>
      </w:r>
      <w:r>
        <w:rPr>
          <w:rFonts w:hint="eastAsia" w:asciiTheme="minorEastAsia" w:hAnsiTheme="minorEastAsia" w:eastAsiaTheme="minorEastAsia" w:cstheme="minorEastAsia"/>
          <w:color w:val="auto"/>
          <w:kern w:val="0"/>
          <w:sz w:val="21"/>
          <w:szCs w:val="21"/>
          <w:highlight w:val="none"/>
        </w:rPr>
        <w:t>若与实际使用不一致的，则以实际使用为准，不影响佣金结算</w:t>
      </w:r>
      <w:r>
        <w:rPr>
          <w:rFonts w:hint="eastAsia" w:asciiTheme="minorEastAsia" w:hAnsiTheme="minorEastAsia" w:eastAsiaTheme="minorEastAsia" w:cstheme="minorEastAsia"/>
          <w:color w:val="auto"/>
          <w:kern w:val="0"/>
          <w:sz w:val="21"/>
          <w:szCs w:val="21"/>
          <w:highlight w:val="none"/>
          <w:lang w:eastAsia="zh-CN"/>
        </w:rPr>
        <w:t>。</w:t>
      </w:r>
    </w:p>
    <w:p w14:paraId="341CC9E2">
      <w:pPr>
        <w:widowControl/>
        <w:adjustRightInd w:val="0"/>
        <w:snapToGrid w:val="0"/>
        <w:spacing w:line="360" w:lineRule="auto"/>
        <w:ind w:right="180"/>
        <w:jc w:val="right"/>
        <w:rPr>
          <w:rFonts w:asciiTheme="minorEastAsia" w:hAnsiTheme="minorEastAsia" w:eastAsiaTheme="minorEastAsia" w:cstheme="minorEastAsia"/>
          <w:color w:val="auto"/>
          <w:kern w:val="0"/>
          <w:sz w:val="18"/>
          <w:szCs w:val="21"/>
          <w:highlight w:val="none"/>
        </w:rPr>
        <w:sectPr>
          <w:headerReference r:id="rId6" w:type="default"/>
          <w:footerReference r:id="rId7" w:type="default"/>
          <w:type w:val="continuous"/>
          <w:pgSz w:w="11906" w:h="16838"/>
          <w:pgMar w:top="1440" w:right="1080" w:bottom="1440" w:left="1080" w:header="851" w:footer="992" w:gutter="0"/>
          <w:pgNumType w:fmt="decimal"/>
          <w:cols w:space="720" w:num="2"/>
          <w:docGrid w:type="lines" w:linePitch="312" w:charSpace="0"/>
        </w:sectPr>
      </w:pPr>
    </w:p>
    <w:p w14:paraId="2ED3DE23">
      <w:pPr>
        <w:adjustRightInd w:val="0"/>
        <w:snapToGrid w:val="0"/>
        <w:spacing w:line="360" w:lineRule="auto"/>
        <w:jc w:val="left"/>
        <w:rPr>
          <w:rFonts w:asciiTheme="minorEastAsia" w:hAnsiTheme="minorEastAsia" w:eastAsiaTheme="minorEastAsia" w:cstheme="minorEastAsia"/>
          <w:b/>
          <w:bCs/>
          <w:color w:val="auto"/>
          <w:sz w:val="18"/>
          <w:szCs w:val="18"/>
          <w:highlight w:val="none"/>
        </w:rPr>
      </w:pPr>
    </w:p>
    <w:p w14:paraId="0E06BB9E">
      <w:pPr>
        <w:snapToGrid w:val="0"/>
        <w:spacing w:line="360" w:lineRule="auto"/>
        <w:jc w:val="left"/>
        <w:rPr>
          <w:rFonts w:asciiTheme="minorEastAsia" w:hAnsiTheme="minorEastAsia" w:eastAsiaTheme="minorEastAsia" w:cstheme="minorEastAsia"/>
          <w:color w:val="auto"/>
          <w:sz w:val="24"/>
          <w:highlight w:val="none"/>
        </w:rPr>
      </w:pPr>
    </w:p>
    <w:p w14:paraId="4FD2D610">
      <w:pPr>
        <w:rPr>
          <w:color w:val="auto"/>
          <w:highlight w:val="none"/>
        </w:rPr>
      </w:pPr>
    </w:p>
    <w:p w14:paraId="56AEAACF">
      <w:pPr>
        <w:widowControl/>
        <w:snapToGrid w:val="0"/>
        <w:jc w:val="left"/>
        <w:rPr>
          <w:rFonts w:hint="default"/>
          <w:b/>
          <w:bCs/>
          <w:color w:val="auto"/>
          <w:sz w:val="24"/>
          <w:szCs w:val="24"/>
          <w:highlight w:val="none"/>
          <w:lang w:val="en-US" w:eastAsia="zh-CN"/>
        </w:rPr>
      </w:pPr>
    </w:p>
    <w:p w14:paraId="0F58023F">
      <w:pPr>
        <w:widowControl/>
        <w:snapToGrid w:val="0"/>
        <w:jc w:val="left"/>
        <w:rPr>
          <w:rFonts w:hint="default"/>
          <w:b/>
          <w:bCs/>
          <w:color w:val="auto"/>
          <w:sz w:val="24"/>
          <w:szCs w:val="24"/>
          <w:highlight w:val="none"/>
          <w:lang w:val="en-US" w:eastAsia="zh-CN"/>
        </w:rPr>
      </w:pPr>
    </w:p>
    <w:p w14:paraId="09F5809C">
      <w:pPr>
        <w:widowControl/>
        <w:snapToGrid w:val="0"/>
        <w:jc w:val="left"/>
        <w:rPr>
          <w:rFonts w:hint="default"/>
          <w:b/>
          <w:bCs/>
          <w:color w:val="auto"/>
          <w:sz w:val="24"/>
          <w:szCs w:val="24"/>
          <w:highlight w:val="none"/>
          <w:lang w:val="en-US" w:eastAsia="zh-CN"/>
        </w:rPr>
      </w:pPr>
    </w:p>
    <w:p w14:paraId="7E7B911A">
      <w:pPr>
        <w:widowControl/>
        <w:snapToGrid w:val="0"/>
        <w:jc w:val="left"/>
        <w:rPr>
          <w:rFonts w:hint="default"/>
          <w:b/>
          <w:bCs/>
          <w:color w:val="auto"/>
          <w:sz w:val="24"/>
          <w:szCs w:val="24"/>
          <w:highlight w:val="none"/>
          <w:lang w:val="en-US" w:eastAsia="zh-CN"/>
        </w:rPr>
      </w:pPr>
    </w:p>
    <w:p w14:paraId="0DA1C980">
      <w:pPr>
        <w:widowControl/>
        <w:snapToGrid w:val="0"/>
        <w:jc w:val="left"/>
        <w:rPr>
          <w:rFonts w:hint="default"/>
          <w:b/>
          <w:bCs/>
          <w:color w:val="auto"/>
          <w:sz w:val="24"/>
          <w:szCs w:val="24"/>
          <w:highlight w:val="none"/>
          <w:lang w:val="en-US" w:eastAsia="zh-CN"/>
        </w:rPr>
      </w:pPr>
    </w:p>
    <w:p w14:paraId="2114046D">
      <w:pPr>
        <w:widowControl/>
        <w:snapToGrid w:val="0"/>
        <w:jc w:val="left"/>
        <w:rPr>
          <w:rFonts w:hint="default"/>
          <w:b/>
          <w:bCs/>
          <w:color w:val="auto"/>
          <w:sz w:val="24"/>
          <w:szCs w:val="24"/>
          <w:highlight w:val="none"/>
          <w:lang w:val="en-US" w:eastAsia="zh-CN"/>
        </w:rPr>
      </w:pPr>
    </w:p>
    <w:p w14:paraId="40C17412">
      <w:pPr>
        <w:widowControl/>
        <w:snapToGrid w:val="0"/>
        <w:jc w:val="left"/>
        <w:rPr>
          <w:rFonts w:hint="default"/>
          <w:b/>
          <w:bCs/>
          <w:color w:val="auto"/>
          <w:sz w:val="24"/>
          <w:szCs w:val="24"/>
          <w:highlight w:val="none"/>
          <w:lang w:val="en-US" w:eastAsia="zh-CN"/>
        </w:rPr>
      </w:pPr>
    </w:p>
    <w:p w14:paraId="5D7EFD1C">
      <w:pPr>
        <w:widowControl/>
        <w:snapToGrid w:val="0"/>
        <w:jc w:val="left"/>
        <w:rPr>
          <w:rFonts w:hint="default"/>
          <w:b/>
          <w:bCs/>
          <w:color w:val="auto"/>
          <w:sz w:val="24"/>
          <w:szCs w:val="24"/>
          <w:highlight w:val="none"/>
          <w:lang w:val="en-US" w:eastAsia="zh-CN"/>
        </w:rPr>
      </w:pPr>
    </w:p>
    <w:p w14:paraId="05434E19">
      <w:pPr>
        <w:widowControl/>
        <w:snapToGrid w:val="0"/>
        <w:jc w:val="left"/>
        <w:rPr>
          <w:rFonts w:hint="default"/>
          <w:b/>
          <w:bCs/>
          <w:color w:val="auto"/>
          <w:sz w:val="24"/>
          <w:szCs w:val="24"/>
          <w:highlight w:val="none"/>
          <w:lang w:val="en-US" w:eastAsia="zh-CN"/>
        </w:rPr>
      </w:pPr>
    </w:p>
    <w:p w14:paraId="644CE375">
      <w:pPr>
        <w:widowControl/>
        <w:snapToGrid w:val="0"/>
        <w:jc w:val="left"/>
        <w:rPr>
          <w:rFonts w:hint="default"/>
          <w:b/>
          <w:bCs/>
          <w:color w:val="auto"/>
          <w:sz w:val="24"/>
          <w:szCs w:val="24"/>
          <w:highlight w:val="none"/>
          <w:lang w:val="en-US" w:eastAsia="zh-CN"/>
        </w:rPr>
      </w:pPr>
    </w:p>
    <w:p w14:paraId="33CC3F65">
      <w:pPr>
        <w:widowControl/>
        <w:snapToGrid w:val="0"/>
        <w:jc w:val="left"/>
        <w:rPr>
          <w:rFonts w:hint="default"/>
          <w:b/>
          <w:bCs/>
          <w:color w:val="auto"/>
          <w:sz w:val="24"/>
          <w:szCs w:val="24"/>
          <w:highlight w:val="none"/>
          <w:lang w:val="en-US" w:eastAsia="zh-CN"/>
        </w:rPr>
      </w:pPr>
    </w:p>
    <w:p w14:paraId="0F466402">
      <w:pPr>
        <w:widowControl/>
        <w:snapToGrid w:val="0"/>
        <w:jc w:val="left"/>
        <w:rPr>
          <w:rFonts w:hint="default"/>
          <w:b/>
          <w:bCs/>
          <w:color w:val="auto"/>
          <w:sz w:val="24"/>
          <w:szCs w:val="24"/>
          <w:highlight w:val="none"/>
          <w:lang w:val="en-US" w:eastAsia="zh-CN"/>
        </w:rPr>
      </w:pPr>
    </w:p>
    <w:p w14:paraId="4CB92BA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olor w:val="auto"/>
          <w:szCs w:val="28"/>
          <w:highlight w:val="none"/>
        </w:rPr>
      </w:pPr>
    </w:p>
    <w:p w14:paraId="7942A38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olor w:val="auto"/>
          <w:szCs w:val="28"/>
          <w:highlight w:val="none"/>
        </w:rPr>
      </w:pPr>
    </w:p>
    <w:p w14:paraId="54226E33">
      <w:pPr>
        <w:spacing w:line="360" w:lineRule="auto"/>
        <w:ind w:firstLine="0" w:firstLineChars="0"/>
        <w:rPr>
          <w:rFonts w:hint="eastAsia" w:asciiTheme="minorEastAsia" w:hAnsiTheme="minorEastAsia" w:eastAsiaTheme="minorEastAsia" w:cstheme="minorEastAsia"/>
          <w:color w:val="auto"/>
          <w:szCs w:val="21"/>
          <w:highlight w:val="none"/>
        </w:rPr>
      </w:pPr>
    </w:p>
    <w:p w14:paraId="0EB3AC2F">
      <w:pPr>
        <w:spacing w:line="360" w:lineRule="auto"/>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附件二：《项目成功销售确认单》</w:t>
      </w:r>
    </w:p>
    <w:tbl>
      <w:tblPr>
        <w:tblStyle w:val="6"/>
        <w:tblW w:w="10031" w:type="dxa"/>
        <w:jc w:val="center"/>
        <w:tblLayout w:type="fixed"/>
        <w:tblCellMar>
          <w:top w:w="0" w:type="dxa"/>
          <w:left w:w="108" w:type="dxa"/>
          <w:bottom w:w="0" w:type="dxa"/>
          <w:right w:w="108" w:type="dxa"/>
        </w:tblCellMar>
      </w:tblPr>
      <w:tblGrid>
        <w:gridCol w:w="519"/>
        <w:gridCol w:w="1078"/>
        <w:gridCol w:w="1207"/>
        <w:gridCol w:w="1350"/>
        <w:gridCol w:w="975"/>
        <w:gridCol w:w="1275"/>
        <w:gridCol w:w="1275"/>
        <w:gridCol w:w="2283"/>
        <w:gridCol w:w="69"/>
      </w:tblGrid>
      <w:tr w14:paraId="6852071C">
        <w:tblPrEx>
          <w:tblCellMar>
            <w:top w:w="0" w:type="dxa"/>
            <w:left w:w="108" w:type="dxa"/>
            <w:bottom w:w="0" w:type="dxa"/>
            <w:right w:w="108" w:type="dxa"/>
          </w:tblCellMar>
        </w:tblPrEx>
        <w:trPr>
          <w:gridAfter w:val="1"/>
          <w:wAfter w:w="69" w:type="dxa"/>
          <w:trHeight w:val="360" w:hRule="atLeast"/>
          <w:jc w:val="center"/>
        </w:trPr>
        <w:tc>
          <w:tcPr>
            <w:tcW w:w="9962" w:type="dxa"/>
            <w:gridSpan w:val="8"/>
            <w:tcBorders>
              <w:top w:val="nil"/>
              <w:left w:val="nil"/>
              <w:bottom w:val="nil"/>
              <w:right w:val="nil"/>
            </w:tcBorders>
          </w:tcPr>
          <w:p w14:paraId="4AEB266C">
            <w:pPr>
              <w:widowControl/>
              <w:tabs>
                <w:tab w:val="left" w:pos="1215"/>
              </w:tabs>
              <w:adjustRightInd w:val="0"/>
              <w:snapToGrid w:val="0"/>
              <w:spacing w:line="360" w:lineRule="auto"/>
              <w:jc w:val="left"/>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ab/>
            </w:r>
          </w:p>
          <w:p w14:paraId="1CBE5525">
            <w:pPr>
              <w:widowControl/>
              <w:adjustRightInd w:val="0"/>
              <w:snapToGrid w:val="0"/>
              <w:spacing w:line="360" w:lineRule="auto"/>
              <w:jc w:val="center"/>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lang w:eastAsia="zh-CN"/>
              </w:rPr>
              <w:t>（</w:t>
            </w:r>
            <w:r>
              <w:rPr>
                <w:rFonts w:hint="eastAsia" w:asciiTheme="minorEastAsia" w:hAnsiTheme="minorEastAsia" w:eastAsiaTheme="minorEastAsia" w:cstheme="minorEastAsia"/>
                <w:b/>
                <w:color w:val="auto"/>
                <w:kern w:val="0"/>
                <w:sz w:val="24"/>
                <w:highlight w:val="none"/>
                <w:lang w:val="en-US" w:eastAsia="zh-CN"/>
              </w:rPr>
              <w:t>xxx)</w:t>
            </w:r>
            <w:r>
              <w:rPr>
                <w:rFonts w:hint="eastAsia" w:asciiTheme="minorEastAsia" w:hAnsiTheme="minorEastAsia" w:eastAsiaTheme="minorEastAsia" w:cstheme="minorEastAsia"/>
                <w:b/>
                <w:color w:val="auto"/>
                <w:kern w:val="0"/>
                <w:sz w:val="24"/>
                <w:highlight w:val="none"/>
              </w:rPr>
              <w:t>项目成功销售确认单</w:t>
            </w:r>
          </w:p>
        </w:tc>
      </w:tr>
      <w:tr w14:paraId="2FF00CD6">
        <w:tblPrEx>
          <w:tblCellMar>
            <w:top w:w="0" w:type="dxa"/>
            <w:left w:w="108" w:type="dxa"/>
            <w:bottom w:w="0" w:type="dxa"/>
            <w:right w:w="108" w:type="dxa"/>
          </w:tblCellMar>
        </w:tblPrEx>
        <w:trPr>
          <w:gridAfter w:val="1"/>
          <w:wAfter w:w="69" w:type="dxa"/>
          <w:trHeight w:val="360" w:hRule="atLeast"/>
          <w:jc w:val="center"/>
        </w:trPr>
        <w:tc>
          <w:tcPr>
            <w:tcW w:w="9962" w:type="dxa"/>
            <w:gridSpan w:val="8"/>
            <w:tcBorders>
              <w:top w:val="nil"/>
              <w:left w:val="nil"/>
              <w:bottom w:val="nil"/>
              <w:right w:val="nil"/>
            </w:tcBorders>
          </w:tcPr>
          <w:p w14:paraId="4FF4098D">
            <w:pPr>
              <w:widowControl/>
              <w:adjustRightInd w:val="0"/>
              <w:snapToGrid w:val="0"/>
              <w:spacing w:line="360" w:lineRule="auto"/>
              <w:jc w:val="center"/>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（成功交易明细）</w:t>
            </w:r>
          </w:p>
        </w:tc>
      </w:tr>
      <w:tr w14:paraId="78951BF5">
        <w:tblPrEx>
          <w:tblCellMar>
            <w:top w:w="0" w:type="dxa"/>
            <w:left w:w="108" w:type="dxa"/>
            <w:bottom w:w="0" w:type="dxa"/>
            <w:right w:w="108" w:type="dxa"/>
          </w:tblCellMar>
        </w:tblPrEx>
        <w:trPr>
          <w:gridAfter w:val="1"/>
          <w:wAfter w:w="69" w:type="dxa"/>
          <w:trHeight w:val="375" w:hRule="atLeast"/>
          <w:jc w:val="center"/>
        </w:trPr>
        <w:tc>
          <w:tcPr>
            <w:tcW w:w="9962" w:type="dxa"/>
            <w:gridSpan w:val="8"/>
            <w:tcBorders>
              <w:top w:val="nil"/>
              <w:left w:val="nil"/>
              <w:bottom w:val="nil"/>
              <w:right w:val="nil"/>
            </w:tcBorders>
            <w:shd w:val="clear" w:color="auto" w:fill="auto"/>
            <w:noWrap/>
            <w:vAlign w:val="center"/>
          </w:tcPr>
          <w:p w14:paraId="6D5A398D">
            <w:pPr>
              <w:widowControl/>
              <w:adjustRightInd w:val="0"/>
              <w:snapToGrid w:val="0"/>
              <w:spacing w:line="360" w:lineRule="auto"/>
              <w:jc w:val="both"/>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xml:space="preserve">合同甲方：                     合同乙方：     </w:t>
            </w:r>
            <w:r>
              <w:rPr>
                <w:rFonts w:hint="eastAsia" w:asciiTheme="minorEastAsia" w:hAnsiTheme="minorEastAsia" w:eastAsiaTheme="minorEastAsia" w:cstheme="minorEastAsia"/>
                <w:color w:val="auto"/>
                <w:kern w:val="0"/>
                <w:szCs w:val="21"/>
                <w:highlight w:val="none"/>
                <w:lang w:val="en-US" w:eastAsia="zh-CN"/>
              </w:rPr>
              <w:t xml:space="preserve">        </w:t>
            </w:r>
            <w:r>
              <w:rPr>
                <w:rFonts w:hint="eastAsia" w:asciiTheme="minorEastAsia" w:hAnsiTheme="minorEastAsia" w:eastAsiaTheme="minorEastAsia" w:cstheme="minorEastAsia"/>
                <w:color w:val="auto"/>
                <w:kern w:val="0"/>
                <w:szCs w:val="21"/>
                <w:highlight w:val="none"/>
              </w:rPr>
              <w:t xml:space="preserve">     期间：202*年*月*日~202*年*月*日</w:t>
            </w:r>
          </w:p>
        </w:tc>
      </w:tr>
      <w:tr w14:paraId="4476C494">
        <w:tblPrEx>
          <w:tblCellMar>
            <w:top w:w="0" w:type="dxa"/>
            <w:left w:w="108" w:type="dxa"/>
            <w:bottom w:w="0" w:type="dxa"/>
            <w:right w:w="108" w:type="dxa"/>
          </w:tblCellMar>
        </w:tblPrEx>
        <w:trPr>
          <w:trHeight w:val="510" w:hRule="atLeast"/>
          <w:jc w:val="center"/>
        </w:trPr>
        <w:tc>
          <w:tcPr>
            <w:tcW w:w="519" w:type="dxa"/>
            <w:tcBorders>
              <w:top w:val="single" w:color="auto" w:sz="8" w:space="0"/>
              <w:left w:val="single" w:color="auto" w:sz="8" w:space="0"/>
              <w:bottom w:val="single" w:color="auto" w:sz="8" w:space="0"/>
              <w:right w:val="single" w:color="auto" w:sz="4" w:space="0"/>
            </w:tcBorders>
            <w:shd w:val="clear" w:color="auto" w:fill="auto"/>
            <w:vAlign w:val="center"/>
          </w:tcPr>
          <w:p w14:paraId="67629B53">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序号</w:t>
            </w:r>
          </w:p>
        </w:tc>
        <w:tc>
          <w:tcPr>
            <w:tcW w:w="1078" w:type="dxa"/>
            <w:tcBorders>
              <w:top w:val="single" w:color="auto" w:sz="4" w:space="0"/>
              <w:left w:val="nil"/>
              <w:bottom w:val="single" w:color="auto" w:sz="4" w:space="0"/>
              <w:right w:val="single" w:color="auto" w:sz="4" w:space="0"/>
            </w:tcBorders>
            <w:shd w:val="clear" w:color="auto" w:fill="auto"/>
            <w:vAlign w:val="center"/>
          </w:tcPr>
          <w:p w14:paraId="44CA9F7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定购日期</w:t>
            </w:r>
          </w:p>
        </w:tc>
        <w:tc>
          <w:tcPr>
            <w:tcW w:w="1207" w:type="dxa"/>
            <w:tcBorders>
              <w:top w:val="single" w:color="auto" w:sz="4" w:space="0"/>
              <w:left w:val="nil"/>
              <w:bottom w:val="single" w:color="auto" w:sz="4" w:space="0"/>
              <w:right w:val="single" w:color="auto" w:sz="4" w:space="0"/>
            </w:tcBorders>
            <w:shd w:val="clear" w:color="auto" w:fill="auto"/>
            <w:vAlign w:val="center"/>
          </w:tcPr>
          <w:p w14:paraId="5C46AF8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签约日期</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14:paraId="3AF59DD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客户姓名</w:t>
            </w:r>
          </w:p>
        </w:tc>
        <w:tc>
          <w:tcPr>
            <w:tcW w:w="975" w:type="dxa"/>
            <w:tcBorders>
              <w:top w:val="single" w:color="auto" w:sz="4" w:space="0"/>
              <w:left w:val="single" w:color="auto" w:sz="4" w:space="0"/>
              <w:bottom w:val="single" w:color="auto" w:sz="4" w:space="0"/>
              <w:right w:val="single" w:color="auto" w:sz="4" w:space="0"/>
            </w:tcBorders>
            <w:vAlign w:val="center"/>
          </w:tcPr>
          <w:p w14:paraId="78466041">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房号</w:t>
            </w:r>
          </w:p>
        </w:tc>
        <w:tc>
          <w:tcPr>
            <w:tcW w:w="1275" w:type="dxa"/>
            <w:tcBorders>
              <w:top w:val="single" w:color="auto" w:sz="4" w:space="0"/>
              <w:left w:val="single" w:color="auto" w:sz="4" w:space="0"/>
              <w:bottom w:val="single" w:color="auto" w:sz="4" w:space="0"/>
              <w:right w:val="single" w:color="auto" w:sz="4" w:space="0"/>
            </w:tcBorders>
            <w:vAlign w:val="center"/>
          </w:tcPr>
          <w:p w14:paraId="37375818">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建筑面积</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1BD085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房屋交易额</w:t>
            </w: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B9917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备注</w:t>
            </w:r>
          </w:p>
        </w:tc>
      </w:tr>
      <w:tr w14:paraId="7940ACC7">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78117FF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C3F3680">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42E5129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AC591">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341E7E6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773A135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67DBF">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442583">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4DE2B93C">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379E885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198110C">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1EFE077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726B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7CCC509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6EF1833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E0371">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29F1F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41ADFDD7">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2F93B7F7">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16C2338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466BD64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319C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3DBA387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0076923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B774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B43B0D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31883AC0">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64C7562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2C0CA71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2210ABD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AAE5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5A3869A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396C031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E8C5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1F0C07">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07FE2F81">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5EF552D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56B797B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54A8DE0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021C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1F4D28EC">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522E76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54F9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FEE0D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46B778D9">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7735EDCC">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75CC640">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6FD8885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5A44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4E465A7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EF8C48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0D4D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CE1393">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5F4AF669">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00AA6338">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7</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220EC43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35261F3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D694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746BCC0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65C990B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CDB8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54A1ED7">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78B76D25">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2A98346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5EB8FBA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5156DE9E">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4548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22CFC95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009D1E4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5888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0D8BDFF">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71FEB0A3">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7E7F7C5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9</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0FECAA3">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3CD4704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66368">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4768BDE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D55045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4DC6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D6110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4D050F2A">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75FC4975">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85D713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798D2AC0">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0183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67B6AA7C">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146D4E2A">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36B0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C3EA0B">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11F6CCF5">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4" w:space="0"/>
              <w:right w:val="single" w:color="auto" w:sz="4" w:space="0"/>
            </w:tcBorders>
            <w:shd w:val="clear" w:color="auto" w:fill="auto"/>
            <w:noWrap/>
            <w:vAlign w:val="center"/>
          </w:tcPr>
          <w:p w14:paraId="26F63AE7">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E50DF6C">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3417C0FF">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7369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6146B52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C90249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62848">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8AE09ED">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037CC13E">
        <w:tblPrEx>
          <w:tblCellMar>
            <w:top w:w="0" w:type="dxa"/>
            <w:left w:w="108" w:type="dxa"/>
            <w:bottom w:w="0" w:type="dxa"/>
            <w:right w:w="108" w:type="dxa"/>
          </w:tblCellMar>
        </w:tblPrEx>
        <w:trPr>
          <w:trHeight w:val="420" w:hRule="atLeast"/>
          <w:jc w:val="center"/>
        </w:trPr>
        <w:tc>
          <w:tcPr>
            <w:tcW w:w="519" w:type="dxa"/>
            <w:tcBorders>
              <w:top w:val="nil"/>
              <w:left w:val="single" w:color="auto" w:sz="8" w:space="0"/>
              <w:bottom w:val="single" w:color="auto" w:sz="8" w:space="0"/>
              <w:right w:val="single" w:color="auto" w:sz="4" w:space="0"/>
            </w:tcBorders>
            <w:shd w:val="clear" w:color="auto" w:fill="auto"/>
            <w:noWrap/>
            <w:vAlign w:val="center"/>
          </w:tcPr>
          <w:p w14:paraId="638AC12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合计</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677395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7F1581C7">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02AA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975" w:type="dxa"/>
            <w:tcBorders>
              <w:top w:val="single" w:color="auto" w:sz="4" w:space="0"/>
              <w:left w:val="single" w:color="auto" w:sz="4" w:space="0"/>
              <w:bottom w:val="single" w:color="auto" w:sz="4" w:space="0"/>
              <w:right w:val="single" w:color="auto" w:sz="4" w:space="0"/>
            </w:tcBorders>
          </w:tcPr>
          <w:p w14:paraId="51257024">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EE61A96">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00062">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c>
          <w:tcPr>
            <w:tcW w:w="23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7993A69">
            <w:pPr>
              <w:widowControl/>
              <w:adjustRightInd w:val="0"/>
              <w:snapToGrid w:val="0"/>
              <w:spacing w:line="360" w:lineRule="auto"/>
              <w:jc w:val="center"/>
              <w:rPr>
                <w:rFonts w:asciiTheme="minorEastAsia" w:hAnsiTheme="minorEastAsia" w:eastAsiaTheme="minorEastAsia" w:cstheme="minorEastAsia"/>
                <w:color w:val="auto"/>
                <w:kern w:val="0"/>
                <w:szCs w:val="21"/>
                <w:highlight w:val="none"/>
              </w:rPr>
            </w:pPr>
          </w:p>
        </w:tc>
      </w:tr>
      <w:tr w14:paraId="03D57346">
        <w:tblPrEx>
          <w:tblCellMar>
            <w:top w:w="0" w:type="dxa"/>
            <w:left w:w="108" w:type="dxa"/>
            <w:bottom w:w="0" w:type="dxa"/>
            <w:right w:w="108" w:type="dxa"/>
          </w:tblCellMar>
        </w:tblPrEx>
        <w:trPr>
          <w:gridAfter w:val="1"/>
          <w:wAfter w:w="69" w:type="dxa"/>
          <w:trHeight w:val="330" w:hRule="atLeast"/>
          <w:jc w:val="center"/>
        </w:trPr>
        <w:tc>
          <w:tcPr>
            <w:tcW w:w="9962" w:type="dxa"/>
            <w:gridSpan w:val="8"/>
            <w:tcBorders>
              <w:top w:val="nil"/>
              <w:left w:val="nil"/>
              <w:bottom w:val="nil"/>
            </w:tcBorders>
          </w:tcPr>
          <w:p w14:paraId="4158B122">
            <w:pPr>
              <w:widowControl/>
              <w:adjustRightInd w:val="0"/>
              <w:snapToGrid w:val="0"/>
              <w:spacing w:line="360" w:lineRule="auto"/>
              <w:jc w:val="left"/>
              <w:rPr>
                <w:rFonts w:asciiTheme="minorEastAsia" w:hAnsiTheme="minorEastAsia" w:eastAsiaTheme="minorEastAsia" w:cstheme="minorEastAsia"/>
                <w:color w:val="auto"/>
                <w:kern w:val="0"/>
                <w:sz w:val="18"/>
                <w:szCs w:val="21"/>
                <w:highlight w:val="none"/>
              </w:rPr>
            </w:pPr>
          </w:p>
        </w:tc>
      </w:tr>
    </w:tbl>
    <w:p w14:paraId="227445D5">
      <w:pPr>
        <w:adjustRightInd w:val="0"/>
        <w:snapToGrid w:val="0"/>
        <w:spacing w:line="360" w:lineRule="auto"/>
        <w:ind w:firstLine="630" w:firstLineChars="3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乙方：</w:t>
      </w:r>
      <w:r>
        <w:rPr>
          <w:rFonts w:hint="eastAsia" w:asciiTheme="minorEastAsia" w:hAnsiTheme="minorEastAsia" w:eastAsiaTheme="minorEastAsia" w:cstheme="minorEastAsia"/>
          <w:color w:val="auto"/>
          <w:szCs w:val="21"/>
          <w:highlight w:val="none"/>
        </w:rPr>
        <w:tab/>
      </w:r>
    </w:p>
    <w:p w14:paraId="1B0C5A41">
      <w:pPr>
        <w:adjustRightInd w:val="0"/>
        <w:snapToGrid w:val="0"/>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签字或盖章：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签字或盖章：</w:t>
      </w:r>
      <w:r>
        <w:rPr>
          <w:rFonts w:hint="eastAsia" w:asciiTheme="minorEastAsia" w:hAnsiTheme="minorEastAsia" w:eastAsiaTheme="minorEastAsia" w:cstheme="minorEastAsia"/>
          <w:color w:val="auto"/>
          <w:szCs w:val="21"/>
          <w:highlight w:val="none"/>
        </w:rPr>
        <w:tab/>
      </w:r>
    </w:p>
    <w:p w14:paraId="4F9C1156">
      <w:pPr>
        <w:adjustRightInd w:val="0"/>
        <w:snapToGrid w:val="0"/>
        <w:spacing w:line="360" w:lineRule="auto"/>
        <w:ind w:firstLine="630" w:firstLineChars="3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zCs w:val="21"/>
          <w:highlight w:val="none"/>
        </w:rPr>
        <w:tab/>
      </w:r>
    </w:p>
    <w:p w14:paraId="0B9FD90C">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044B928B">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52FAC4B7">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65316D19">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6081FFE7">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5AEEBCBA">
      <w:pPr>
        <w:tabs>
          <w:tab w:val="left" w:pos="1260"/>
          <w:tab w:val="center" w:pos="4156"/>
        </w:tabs>
        <w:adjustRightInd w:val="0"/>
        <w:snapToGrid w:val="0"/>
        <w:spacing w:line="360" w:lineRule="auto"/>
        <w:ind w:firstLine="210" w:firstLineChars="100"/>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 xml:space="preserve">注：1. </w:t>
      </w:r>
      <w:r>
        <w:rPr>
          <w:rFonts w:hint="eastAsia" w:asciiTheme="minorEastAsia" w:hAnsiTheme="minorEastAsia" w:eastAsiaTheme="minorEastAsia" w:cstheme="minorEastAsia"/>
          <w:color w:val="auto"/>
          <w:kern w:val="0"/>
          <w:szCs w:val="21"/>
          <w:highlight w:val="none"/>
        </w:rPr>
        <w:t>本确认单一式三份，分销公司经纪人、甲方、乙方各执一份。</w:t>
      </w:r>
    </w:p>
    <w:p w14:paraId="24AD8C74">
      <w:pPr>
        <w:tabs>
          <w:tab w:val="left" w:pos="1260"/>
          <w:tab w:val="center" w:pos="4156"/>
        </w:tabs>
        <w:adjustRightInd w:val="0"/>
        <w:snapToGrid w:val="0"/>
        <w:spacing w:line="360" w:lineRule="auto"/>
        <w:ind w:firstLine="630" w:firstLineChars="300"/>
        <w:rPr>
          <w:rFonts w:hint="eastAsia" w:asciiTheme="minorEastAsia" w:hAnsiTheme="minorEastAsia" w:eastAsiaTheme="minorEastAsia" w:cstheme="minorEastAsia"/>
          <w:color w:val="auto"/>
          <w:kern w:val="0"/>
          <w:sz w:val="21"/>
          <w:szCs w:val="21"/>
          <w:highlight w:val="none"/>
        </w:rPr>
        <w:sectPr>
          <w:type w:val="continuous"/>
          <w:pgSz w:w="11906" w:h="16838"/>
          <w:pgMar w:top="1440" w:right="1080" w:bottom="1440" w:left="1080"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1"/>
          <w:szCs w:val="21"/>
          <w:highlight w:val="none"/>
          <w:lang w:val="en-US" w:eastAsia="zh-CN"/>
        </w:rPr>
        <w:t xml:space="preserve">2. </w:t>
      </w:r>
      <w:r>
        <w:rPr>
          <w:rFonts w:hint="eastAsia" w:asciiTheme="minorEastAsia" w:hAnsiTheme="minorEastAsia" w:eastAsiaTheme="minorEastAsia" w:cstheme="minorEastAsia"/>
          <w:color w:val="auto"/>
          <w:kern w:val="0"/>
          <w:sz w:val="21"/>
          <w:szCs w:val="21"/>
          <w:highlight w:val="none"/>
        </w:rPr>
        <w:t>若与实际使用不一致的，则以实际使用为准，不影响佣金结算</w:t>
      </w:r>
      <w:r>
        <w:rPr>
          <w:rFonts w:hint="eastAsia" w:asciiTheme="minorEastAsia" w:hAnsiTheme="minorEastAsia" w:eastAsiaTheme="minorEastAsia" w:cstheme="minorEastAsia"/>
          <w:color w:val="auto"/>
          <w:kern w:val="0"/>
          <w:sz w:val="21"/>
          <w:szCs w:val="21"/>
          <w:highlight w:val="none"/>
          <w:lang w:eastAsia="zh-CN"/>
        </w:rPr>
        <w:t>。</w:t>
      </w:r>
    </w:p>
    <w:p w14:paraId="75BEC1CD">
      <w:pPr>
        <w:widowControl/>
        <w:adjustRightInd w:val="0"/>
        <w:snapToGrid w:val="0"/>
        <w:spacing w:line="360" w:lineRule="auto"/>
        <w:jc w:val="left"/>
        <w:rPr>
          <w:rFonts w:asciiTheme="minorEastAsia" w:hAnsiTheme="minorEastAsia" w:eastAsiaTheme="minorEastAsia" w:cstheme="minorEastAsia"/>
          <w:color w:val="auto"/>
          <w:sz w:val="16"/>
          <w:highlight w:val="none"/>
        </w:rPr>
      </w:pPr>
      <w:r>
        <w:rPr>
          <w:rFonts w:hint="eastAsia" w:asciiTheme="minorEastAsia" w:hAnsiTheme="minorEastAsia" w:eastAsiaTheme="minorEastAsia" w:cstheme="minorEastAsia"/>
          <w:color w:val="auto"/>
          <w:sz w:val="16"/>
          <w:highlight w:val="none"/>
        </w:rPr>
        <w:br w:type="page"/>
      </w:r>
    </w:p>
    <w:p w14:paraId="19EAB5B3">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附件三：《项目对账结算单》</w:t>
      </w:r>
    </w:p>
    <w:tbl>
      <w:tblPr>
        <w:tblStyle w:val="6"/>
        <w:tblW w:w="10790" w:type="dxa"/>
        <w:jc w:val="center"/>
        <w:tblLayout w:type="fixed"/>
        <w:tblCellMar>
          <w:top w:w="0" w:type="dxa"/>
          <w:left w:w="0" w:type="dxa"/>
          <w:bottom w:w="0" w:type="dxa"/>
          <w:right w:w="0" w:type="dxa"/>
        </w:tblCellMar>
      </w:tblPr>
      <w:tblGrid>
        <w:gridCol w:w="436"/>
        <w:gridCol w:w="873"/>
        <w:gridCol w:w="930"/>
        <w:gridCol w:w="510"/>
        <w:gridCol w:w="495"/>
        <w:gridCol w:w="630"/>
        <w:gridCol w:w="750"/>
        <w:gridCol w:w="630"/>
        <w:gridCol w:w="915"/>
        <w:gridCol w:w="540"/>
        <w:gridCol w:w="675"/>
        <w:gridCol w:w="615"/>
        <w:gridCol w:w="630"/>
        <w:gridCol w:w="615"/>
        <w:gridCol w:w="825"/>
        <w:gridCol w:w="707"/>
        <w:gridCol w:w="14"/>
      </w:tblGrid>
      <w:tr w14:paraId="464E565C">
        <w:tblPrEx>
          <w:tblCellMar>
            <w:top w:w="0" w:type="dxa"/>
            <w:left w:w="0" w:type="dxa"/>
            <w:bottom w:w="0" w:type="dxa"/>
            <w:right w:w="0" w:type="dxa"/>
          </w:tblCellMar>
        </w:tblPrEx>
        <w:trPr>
          <w:trHeight w:val="359" w:hRule="atLeast"/>
          <w:jc w:val="center"/>
        </w:trPr>
        <w:tc>
          <w:tcPr>
            <w:tcW w:w="10790" w:type="dxa"/>
            <w:gridSpan w:val="17"/>
            <w:tcBorders>
              <w:top w:val="nil"/>
              <w:left w:val="nil"/>
              <w:bottom w:val="single" w:color="auto" w:sz="4" w:space="0"/>
              <w:right w:val="nil"/>
            </w:tcBorders>
            <w:shd w:val="clear" w:color="000000" w:fill="FFFFFF"/>
            <w:noWrap/>
            <w:vAlign w:val="center"/>
          </w:tcPr>
          <w:p w14:paraId="10023F11">
            <w:pPr>
              <w:widowControl/>
              <w:snapToGrid w:val="0"/>
              <w:spacing w:line="360" w:lineRule="auto"/>
              <w:jc w:val="cente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(xxx)</w:t>
            </w:r>
            <w:r>
              <w:rPr>
                <w:rFonts w:hint="eastAsia" w:asciiTheme="minorEastAsia" w:hAnsiTheme="minorEastAsia" w:eastAsiaTheme="minorEastAsia" w:cstheme="minorEastAsia"/>
                <w:b/>
                <w:bCs/>
                <w:color w:val="auto"/>
                <w:sz w:val="24"/>
                <w:highlight w:val="none"/>
              </w:rPr>
              <w:t>项目对账结算单</w:t>
            </w:r>
          </w:p>
          <w:p w14:paraId="4973373A">
            <w:pPr>
              <w:widowControl/>
              <w:snapToGrid w:val="0"/>
              <w:spacing w:line="360" w:lineRule="auto"/>
              <w:jc w:val="both"/>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val="0"/>
                <w:bCs/>
                <w:color w:val="auto"/>
                <w:sz w:val="21"/>
                <w:highlight w:val="none"/>
              </w:rPr>
              <w:t xml:space="preserve">合同甲方：                              合同乙方：     </w:t>
            </w:r>
            <w:r>
              <w:rPr>
                <w:rFonts w:hint="eastAsia" w:asciiTheme="minorEastAsia" w:hAnsiTheme="minorEastAsia" w:eastAsiaTheme="minorEastAsia" w:cstheme="minorEastAsia"/>
                <w:b/>
                <w:bCs/>
                <w:color w:val="auto"/>
                <w:sz w:val="24"/>
                <w:highlight w:val="none"/>
              </w:rPr>
              <w:t xml:space="preserve">    </w:t>
            </w:r>
            <w:r>
              <w:rPr>
                <w:rFonts w:hint="eastAsia" w:asciiTheme="minorEastAsia" w:hAnsiTheme="minorEastAsia" w:eastAsiaTheme="minorEastAsia" w:cstheme="minorEastAsia"/>
                <w:color w:val="auto"/>
                <w:kern w:val="0"/>
                <w:szCs w:val="21"/>
                <w:highlight w:val="none"/>
              </w:rPr>
              <w:t>期间：202*年*月*日~202*年*月*日</w:t>
            </w:r>
            <w:r>
              <w:rPr>
                <w:rFonts w:hint="eastAsia" w:asciiTheme="minorEastAsia" w:hAnsiTheme="minorEastAsia" w:eastAsiaTheme="minorEastAsia" w:cstheme="minorEastAsia"/>
                <w:b/>
                <w:bCs/>
                <w:color w:val="auto"/>
                <w:sz w:val="24"/>
                <w:highlight w:val="none"/>
              </w:rPr>
              <w:t xml:space="preserve">           </w:t>
            </w:r>
          </w:p>
        </w:tc>
      </w:tr>
      <w:tr w14:paraId="400BD6DD">
        <w:tblPrEx>
          <w:tblCellMar>
            <w:top w:w="0" w:type="dxa"/>
            <w:left w:w="0" w:type="dxa"/>
            <w:bottom w:w="0" w:type="dxa"/>
            <w:right w:w="0" w:type="dxa"/>
          </w:tblCellMar>
        </w:tblPrEx>
        <w:trPr>
          <w:gridAfter w:val="1"/>
          <w:wAfter w:w="14" w:type="dxa"/>
          <w:trHeight w:val="254" w:hRule="atLeast"/>
          <w:jc w:val="center"/>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14:paraId="365EDAB4">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序号</w:t>
            </w:r>
          </w:p>
        </w:tc>
        <w:tc>
          <w:tcPr>
            <w:tcW w:w="873" w:type="dxa"/>
            <w:vMerge w:val="restart"/>
            <w:tcBorders>
              <w:top w:val="nil"/>
              <w:left w:val="single" w:color="auto" w:sz="4" w:space="0"/>
              <w:bottom w:val="single" w:color="auto" w:sz="4" w:space="0"/>
              <w:right w:val="single" w:color="auto" w:sz="4" w:space="0"/>
            </w:tcBorders>
            <w:shd w:val="clear" w:color="auto" w:fill="auto"/>
            <w:vAlign w:val="center"/>
          </w:tcPr>
          <w:p w14:paraId="4415DE46">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签约日期</w:t>
            </w:r>
          </w:p>
        </w:tc>
        <w:tc>
          <w:tcPr>
            <w:tcW w:w="930" w:type="dxa"/>
            <w:vMerge w:val="restart"/>
            <w:tcBorders>
              <w:top w:val="nil"/>
              <w:left w:val="single" w:color="auto" w:sz="4" w:space="0"/>
              <w:bottom w:val="single" w:color="auto" w:sz="4" w:space="0"/>
              <w:right w:val="single" w:color="auto" w:sz="4" w:space="0"/>
            </w:tcBorders>
            <w:shd w:val="clear" w:color="auto" w:fill="auto"/>
            <w:vAlign w:val="center"/>
          </w:tcPr>
          <w:p w14:paraId="488273F2">
            <w:pPr>
              <w:snapToGrid w:val="0"/>
              <w:spacing w:line="360" w:lineRule="auto"/>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客户姓名</w:t>
            </w:r>
          </w:p>
        </w:tc>
        <w:tc>
          <w:tcPr>
            <w:tcW w:w="510" w:type="dxa"/>
            <w:vMerge w:val="restart"/>
            <w:tcBorders>
              <w:top w:val="nil"/>
              <w:left w:val="single" w:color="auto" w:sz="4" w:space="0"/>
              <w:bottom w:val="single" w:color="auto" w:sz="4" w:space="0"/>
              <w:right w:val="single" w:color="auto" w:sz="4" w:space="0"/>
            </w:tcBorders>
            <w:shd w:val="clear" w:color="auto" w:fill="auto"/>
            <w:vAlign w:val="center"/>
          </w:tcPr>
          <w:p w14:paraId="6B880384">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房号</w:t>
            </w:r>
          </w:p>
        </w:tc>
        <w:tc>
          <w:tcPr>
            <w:tcW w:w="495" w:type="dxa"/>
            <w:vMerge w:val="restart"/>
            <w:tcBorders>
              <w:top w:val="nil"/>
              <w:left w:val="single" w:color="auto" w:sz="4" w:space="0"/>
              <w:bottom w:val="single" w:color="auto" w:sz="4" w:space="0"/>
              <w:right w:val="single" w:color="auto" w:sz="4" w:space="0"/>
            </w:tcBorders>
            <w:shd w:val="clear" w:color="auto" w:fill="auto"/>
            <w:vAlign w:val="center"/>
          </w:tcPr>
          <w:p w14:paraId="1B3A71BF">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建筑面积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14:paraId="358D9505">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付款方式</w:t>
            </w:r>
          </w:p>
        </w:tc>
        <w:tc>
          <w:tcPr>
            <w:tcW w:w="750" w:type="dxa"/>
            <w:vMerge w:val="restart"/>
            <w:tcBorders>
              <w:top w:val="nil"/>
              <w:left w:val="single" w:color="auto" w:sz="4" w:space="0"/>
              <w:bottom w:val="single" w:color="auto" w:sz="4" w:space="0"/>
              <w:right w:val="single" w:color="auto" w:sz="4" w:space="0"/>
            </w:tcBorders>
            <w:shd w:val="clear" w:color="auto" w:fill="auto"/>
            <w:vAlign w:val="center"/>
          </w:tcPr>
          <w:p w14:paraId="1D839A60">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总房款</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14:paraId="10A7EC89">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实结房款</w:t>
            </w:r>
          </w:p>
        </w:tc>
        <w:tc>
          <w:tcPr>
            <w:tcW w:w="4815" w:type="dxa"/>
            <w:gridSpan w:val="7"/>
            <w:tcBorders>
              <w:top w:val="single" w:color="auto" w:sz="4" w:space="0"/>
              <w:left w:val="nil"/>
              <w:bottom w:val="single" w:color="auto" w:sz="4" w:space="0"/>
              <w:right w:val="single" w:color="auto" w:sz="4" w:space="0"/>
            </w:tcBorders>
            <w:shd w:val="clear" w:color="auto" w:fill="auto"/>
            <w:vAlign w:val="center"/>
          </w:tcPr>
          <w:p w14:paraId="4A78EF4B">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销售佣金收入 </w:t>
            </w:r>
          </w:p>
        </w:tc>
        <w:tc>
          <w:tcPr>
            <w:tcW w:w="707" w:type="dxa"/>
            <w:vMerge w:val="restart"/>
            <w:tcBorders>
              <w:top w:val="nil"/>
              <w:left w:val="single" w:color="auto" w:sz="4" w:space="0"/>
              <w:bottom w:val="single" w:color="000000" w:sz="4" w:space="0"/>
              <w:right w:val="single" w:color="auto" w:sz="4" w:space="0"/>
            </w:tcBorders>
            <w:shd w:val="clear" w:color="auto" w:fill="auto"/>
            <w:vAlign w:val="center"/>
          </w:tcPr>
          <w:p w14:paraId="37281841">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备注</w:t>
            </w:r>
          </w:p>
        </w:tc>
      </w:tr>
      <w:tr w14:paraId="2EAF4840">
        <w:tblPrEx>
          <w:tblCellMar>
            <w:top w:w="0" w:type="dxa"/>
            <w:left w:w="0" w:type="dxa"/>
            <w:bottom w:w="0" w:type="dxa"/>
            <w:right w:w="0" w:type="dxa"/>
          </w:tblCellMar>
        </w:tblPrEx>
        <w:trPr>
          <w:gridAfter w:val="1"/>
          <w:wAfter w:w="14" w:type="dxa"/>
          <w:trHeight w:val="254" w:hRule="atLeast"/>
          <w:jc w:val="center"/>
        </w:trPr>
        <w:tc>
          <w:tcPr>
            <w:tcW w:w="436" w:type="dxa"/>
            <w:vMerge w:val="continue"/>
            <w:tcBorders>
              <w:top w:val="nil"/>
              <w:left w:val="single" w:color="auto" w:sz="4" w:space="0"/>
              <w:bottom w:val="single" w:color="auto" w:sz="4" w:space="0"/>
              <w:right w:val="single" w:color="auto" w:sz="4" w:space="0"/>
            </w:tcBorders>
            <w:vAlign w:val="center"/>
          </w:tcPr>
          <w:p w14:paraId="25A07B00">
            <w:pPr>
              <w:snapToGrid w:val="0"/>
              <w:spacing w:line="360" w:lineRule="auto"/>
              <w:rPr>
                <w:rFonts w:asciiTheme="minorEastAsia" w:hAnsiTheme="minorEastAsia" w:eastAsiaTheme="minorEastAsia" w:cstheme="minorEastAsia"/>
                <w:b/>
                <w:bCs/>
                <w:color w:val="auto"/>
                <w:szCs w:val="21"/>
                <w:highlight w:val="none"/>
              </w:rPr>
            </w:pPr>
          </w:p>
        </w:tc>
        <w:tc>
          <w:tcPr>
            <w:tcW w:w="873" w:type="dxa"/>
            <w:vMerge w:val="continue"/>
            <w:tcBorders>
              <w:top w:val="nil"/>
              <w:left w:val="single" w:color="auto" w:sz="4" w:space="0"/>
              <w:bottom w:val="single" w:color="auto" w:sz="4" w:space="0"/>
              <w:right w:val="single" w:color="auto" w:sz="4" w:space="0"/>
            </w:tcBorders>
            <w:vAlign w:val="center"/>
          </w:tcPr>
          <w:p w14:paraId="5F4E6231">
            <w:pPr>
              <w:snapToGrid w:val="0"/>
              <w:spacing w:line="360" w:lineRule="auto"/>
              <w:rPr>
                <w:rFonts w:asciiTheme="minorEastAsia" w:hAnsiTheme="minorEastAsia" w:eastAsiaTheme="minorEastAsia" w:cstheme="minorEastAsia"/>
                <w:b/>
                <w:bCs/>
                <w:color w:val="auto"/>
                <w:szCs w:val="21"/>
                <w:highlight w:val="none"/>
              </w:rPr>
            </w:pPr>
          </w:p>
        </w:tc>
        <w:tc>
          <w:tcPr>
            <w:tcW w:w="930" w:type="dxa"/>
            <w:vMerge w:val="continue"/>
            <w:tcBorders>
              <w:top w:val="nil"/>
              <w:left w:val="single" w:color="auto" w:sz="4" w:space="0"/>
              <w:bottom w:val="single" w:color="auto" w:sz="4" w:space="0"/>
              <w:right w:val="single" w:color="auto" w:sz="4" w:space="0"/>
            </w:tcBorders>
            <w:vAlign w:val="center"/>
          </w:tcPr>
          <w:p w14:paraId="702D8821">
            <w:pPr>
              <w:snapToGrid w:val="0"/>
              <w:spacing w:line="360" w:lineRule="auto"/>
              <w:rPr>
                <w:rFonts w:asciiTheme="minorEastAsia" w:hAnsiTheme="minorEastAsia" w:eastAsiaTheme="minorEastAsia" w:cstheme="minorEastAsia"/>
                <w:b/>
                <w:bCs/>
                <w:color w:val="auto"/>
                <w:szCs w:val="21"/>
                <w:highlight w:val="none"/>
              </w:rPr>
            </w:pPr>
          </w:p>
        </w:tc>
        <w:tc>
          <w:tcPr>
            <w:tcW w:w="510" w:type="dxa"/>
            <w:vMerge w:val="continue"/>
            <w:tcBorders>
              <w:top w:val="nil"/>
              <w:left w:val="single" w:color="auto" w:sz="4" w:space="0"/>
              <w:bottom w:val="single" w:color="auto" w:sz="4" w:space="0"/>
              <w:right w:val="single" w:color="auto" w:sz="4" w:space="0"/>
            </w:tcBorders>
            <w:vAlign w:val="center"/>
          </w:tcPr>
          <w:p w14:paraId="3970FC23">
            <w:pPr>
              <w:snapToGrid w:val="0"/>
              <w:spacing w:line="360" w:lineRule="auto"/>
              <w:rPr>
                <w:rFonts w:asciiTheme="minorEastAsia" w:hAnsiTheme="minorEastAsia" w:eastAsiaTheme="minorEastAsia" w:cstheme="minorEastAsia"/>
                <w:b/>
                <w:bCs/>
                <w:color w:val="auto"/>
                <w:szCs w:val="21"/>
                <w:highlight w:val="none"/>
              </w:rPr>
            </w:pPr>
          </w:p>
        </w:tc>
        <w:tc>
          <w:tcPr>
            <w:tcW w:w="495" w:type="dxa"/>
            <w:vMerge w:val="continue"/>
            <w:tcBorders>
              <w:top w:val="nil"/>
              <w:left w:val="single" w:color="auto" w:sz="4" w:space="0"/>
              <w:bottom w:val="single" w:color="auto" w:sz="4" w:space="0"/>
              <w:right w:val="single" w:color="auto" w:sz="4" w:space="0"/>
            </w:tcBorders>
            <w:vAlign w:val="center"/>
          </w:tcPr>
          <w:p w14:paraId="59895177">
            <w:pPr>
              <w:snapToGrid w:val="0"/>
              <w:spacing w:line="360" w:lineRule="auto"/>
              <w:rPr>
                <w:rFonts w:asciiTheme="minorEastAsia" w:hAnsiTheme="minorEastAsia" w:eastAsiaTheme="minorEastAsia" w:cstheme="minorEastAsia"/>
                <w:b/>
                <w:bCs/>
                <w:color w:val="auto"/>
                <w:szCs w:val="21"/>
                <w:highlight w:val="none"/>
              </w:rPr>
            </w:pPr>
          </w:p>
        </w:tc>
        <w:tc>
          <w:tcPr>
            <w:tcW w:w="630" w:type="dxa"/>
            <w:vMerge w:val="continue"/>
            <w:tcBorders>
              <w:top w:val="nil"/>
              <w:left w:val="single" w:color="auto" w:sz="4" w:space="0"/>
              <w:bottom w:val="single" w:color="auto" w:sz="4" w:space="0"/>
              <w:right w:val="single" w:color="auto" w:sz="4" w:space="0"/>
            </w:tcBorders>
            <w:vAlign w:val="center"/>
          </w:tcPr>
          <w:p w14:paraId="365BCEA6">
            <w:pPr>
              <w:snapToGrid w:val="0"/>
              <w:spacing w:line="360" w:lineRule="auto"/>
              <w:rPr>
                <w:rFonts w:asciiTheme="minorEastAsia" w:hAnsiTheme="minorEastAsia" w:eastAsiaTheme="minorEastAsia" w:cstheme="minorEastAsia"/>
                <w:b/>
                <w:bCs/>
                <w:color w:val="auto"/>
                <w:szCs w:val="21"/>
                <w:highlight w:val="none"/>
              </w:rPr>
            </w:pPr>
          </w:p>
        </w:tc>
        <w:tc>
          <w:tcPr>
            <w:tcW w:w="750" w:type="dxa"/>
            <w:vMerge w:val="continue"/>
            <w:tcBorders>
              <w:top w:val="nil"/>
              <w:left w:val="single" w:color="auto" w:sz="4" w:space="0"/>
              <w:bottom w:val="single" w:color="auto" w:sz="4" w:space="0"/>
              <w:right w:val="single" w:color="auto" w:sz="4" w:space="0"/>
            </w:tcBorders>
            <w:vAlign w:val="center"/>
          </w:tcPr>
          <w:p w14:paraId="143D694C">
            <w:pPr>
              <w:snapToGrid w:val="0"/>
              <w:spacing w:line="360" w:lineRule="auto"/>
              <w:rPr>
                <w:rFonts w:asciiTheme="minorEastAsia" w:hAnsiTheme="minorEastAsia" w:eastAsiaTheme="minorEastAsia" w:cstheme="minorEastAsia"/>
                <w:b/>
                <w:bCs/>
                <w:color w:val="auto"/>
                <w:szCs w:val="21"/>
                <w:highlight w:val="none"/>
              </w:rPr>
            </w:pPr>
          </w:p>
        </w:tc>
        <w:tc>
          <w:tcPr>
            <w:tcW w:w="630" w:type="dxa"/>
            <w:vMerge w:val="continue"/>
            <w:tcBorders>
              <w:top w:val="nil"/>
              <w:left w:val="single" w:color="auto" w:sz="4" w:space="0"/>
              <w:bottom w:val="single" w:color="auto" w:sz="4" w:space="0"/>
              <w:right w:val="single" w:color="auto" w:sz="4" w:space="0"/>
            </w:tcBorders>
            <w:vAlign w:val="center"/>
          </w:tcPr>
          <w:p w14:paraId="0BB5BBD3">
            <w:pPr>
              <w:snapToGrid w:val="0"/>
              <w:spacing w:line="360" w:lineRule="auto"/>
              <w:rPr>
                <w:rFonts w:asciiTheme="minorEastAsia" w:hAnsiTheme="minorEastAsia" w:eastAsiaTheme="minorEastAsia" w:cstheme="minorEastAsia"/>
                <w:b/>
                <w:bCs/>
                <w:color w:val="auto"/>
                <w:szCs w:val="21"/>
                <w:highlight w:val="none"/>
              </w:rPr>
            </w:pPr>
          </w:p>
        </w:tc>
        <w:tc>
          <w:tcPr>
            <w:tcW w:w="1455" w:type="dxa"/>
            <w:gridSpan w:val="2"/>
            <w:tcBorders>
              <w:top w:val="single" w:color="auto" w:sz="4" w:space="0"/>
              <w:left w:val="nil"/>
              <w:bottom w:val="single" w:color="auto" w:sz="4" w:space="0"/>
              <w:right w:val="single" w:color="auto" w:sz="4" w:space="0"/>
            </w:tcBorders>
            <w:shd w:val="clear" w:color="auto" w:fill="auto"/>
            <w:vAlign w:val="center"/>
          </w:tcPr>
          <w:p w14:paraId="32FB4933">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应结算 </w:t>
            </w:r>
          </w:p>
        </w:tc>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4E57D7D5">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已结算佣金 </w:t>
            </w:r>
          </w:p>
        </w:tc>
        <w:tc>
          <w:tcPr>
            <w:tcW w:w="1245" w:type="dxa"/>
            <w:gridSpan w:val="2"/>
            <w:tcBorders>
              <w:top w:val="single" w:color="auto" w:sz="4" w:space="0"/>
              <w:left w:val="nil"/>
              <w:bottom w:val="single" w:color="auto" w:sz="4" w:space="0"/>
              <w:right w:val="single" w:color="auto" w:sz="4" w:space="0"/>
            </w:tcBorders>
            <w:shd w:val="clear" w:color="auto" w:fill="auto"/>
            <w:vAlign w:val="center"/>
          </w:tcPr>
          <w:p w14:paraId="01CA9AE1">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本次结算</w:t>
            </w:r>
          </w:p>
        </w:tc>
        <w:tc>
          <w:tcPr>
            <w:tcW w:w="1440" w:type="dxa"/>
            <w:gridSpan w:val="2"/>
            <w:tcBorders>
              <w:top w:val="single" w:color="auto" w:sz="4" w:space="0"/>
              <w:left w:val="nil"/>
              <w:bottom w:val="single" w:color="auto" w:sz="4" w:space="0"/>
              <w:right w:val="single" w:color="000000" w:sz="4" w:space="0"/>
            </w:tcBorders>
            <w:shd w:val="clear" w:color="auto" w:fill="auto"/>
            <w:vAlign w:val="center"/>
          </w:tcPr>
          <w:p w14:paraId="774DEC85">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本次留存 </w:t>
            </w:r>
          </w:p>
        </w:tc>
        <w:tc>
          <w:tcPr>
            <w:tcW w:w="707" w:type="dxa"/>
            <w:vMerge w:val="continue"/>
            <w:tcBorders>
              <w:top w:val="nil"/>
              <w:left w:val="single" w:color="auto" w:sz="4" w:space="0"/>
              <w:bottom w:val="single" w:color="000000" w:sz="4" w:space="0"/>
              <w:right w:val="single" w:color="auto" w:sz="4" w:space="0"/>
            </w:tcBorders>
            <w:vAlign w:val="center"/>
          </w:tcPr>
          <w:p w14:paraId="52E19537">
            <w:pPr>
              <w:snapToGrid w:val="0"/>
              <w:spacing w:line="360" w:lineRule="auto"/>
              <w:rPr>
                <w:rFonts w:asciiTheme="minorEastAsia" w:hAnsiTheme="minorEastAsia" w:eastAsiaTheme="minorEastAsia" w:cstheme="minorEastAsia"/>
                <w:b/>
                <w:bCs/>
                <w:color w:val="auto"/>
                <w:szCs w:val="21"/>
                <w:highlight w:val="none"/>
              </w:rPr>
            </w:pPr>
          </w:p>
        </w:tc>
      </w:tr>
      <w:tr w14:paraId="68CC66A7">
        <w:tblPrEx>
          <w:tblCellMar>
            <w:top w:w="0" w:type="dxa"/>
            <w:left w:w="0" w:type="dxa"/>
            <w:bottom w:w="0" w:type="dxa"/>
            <w:right w:w="0" w:type="dxa"/>
          </w:tblCellMar>
        </w:tblPrEx>
        <w:trPr>
          <w:gridAfter w:val="1"/>
          <w:wAfter w:w="14" w:type="dxa"/>
          <w:trHeight w:val="522" w:hRule="atLeast"/>
          <w:jc w:val="center"/>
        </w:trPr>
        <w:tc>
          <w:tcPr>
            <w:tcW w:w="436" w:type="dxa"/>
            <w:vMerge w:val="continue"/>
            <w:tcBorders>
              <w:top w:val="nil"/>
              <w:left w:val="single" w:color="auto" w:sz="4" w:space="0"/>
              <w:bottom w:val="single" w:color="auto" w:sz="4" w:space="0"/>
              <w:right w:val="single" w:color="auto" w:sz="4" w:space="0"/>
            </w:tcBorders>
            <w:vAlign w:val="center"/>
          </w:tcPr>
          <w:p w14:paraId="2580D428">
            <w:pPr>
              <w:snapToGrid w:val="0"/>
              <w:spacing w:line="360" w:lineRule="auto"/>
              <w:rPr>
                <w:rFonts w:asciiTheme="minorEastAsia" w:hAnsiTheme="minorEastAsia" w:eastAsiaTheme="minorEastAsia" w:cstheme="minorEastAsia"/>
                <w:b/>
                <w:bCs/>
                <w:color w:val="auto"/>
                <w:szCs w:val="21"/>
                <w:highlight w:val="none"/>
              </w:rPr>
            </w:pPr>
          </w:p>
        </w:tc>
        <w:tc>
          <w:tcPr>
            <w:tcW w:w="873" w:type="dxa"/>
            <w:vMerge w:val="continue"/>
            <w:tcBorders>
              <w:top w:val="nil"/>
              <w:left w:val="single" w:color="auto" w:sz="4" w:space="0"/>
              <w:bottom w:val="single" w:color="auto" w:sz="4" w:space="0"/>
              <w:right w:val="single" w:color="auto" w:sz="4" w:space="0"/>
            </w:tcBorders>
            <w:vAlign w:val="center"/>
          </w:tcPr>
          <w:p w14:paraId="3FE3A6F2">
            <w:pPr>
              <w:snapToGrid w:val="0"/>
              <w:spacing w:line="360" w:lineRule="auto"/>
              <w:rPr>
                <w:rFonts w:asciiTheme="minorEastAsia" w:hAnsiTheme="minorEastAsia" w:eastAsiaTheme="minorEastAsia" w:cstheme="minorEastAsia"/>
                <w:b/>
                <w:bCs/>
                <w:color w:val="auto"/>
                <w:szCs w:val="21"/>
                <w:highlight w:val="none"/>
              </w:rPr>
            </w:pPr>
          </w:p>
        </w:tc>
        <w:tc>
          <w:tcPr>
            <w:tcW w:w="930" w:type="dxa"/>
            <w:vMerge w:val="continue"/>
            <w:tcBorders>
              <w:top w:val="nil"/>
              <w:left w:val="single" w:color="auto" w:sz="4" w:space="0"/>
              <w:bottom w:val="single" w:color="auto" w:sz="4" w:space="0"/>
              <w:right w:val="single" w:color="auto" w:sz="4" w:space="0"/>
            </w:tcBorders>
            <w:vAlign w:val="center"/>
          </w:tcPr>
          <w:p w14:paraId="29E799F0">
            <w:pPr>
              <w:snapToGrid w:val="0"/>
              <w:spacing w:line="360" w:lineRule="auto"/>
              <w:rPr>
                <w:rFonts w:asciiTheme="minorEastAsia" w:hAnsiTheme="minorEastAsia" w:eastAsiaTheme="minorEastAsia" w:cstheme="minorEastAsia"/>
                <w:b/>
                <w:bCs/>
                <w:color w:val="auto"/>
                <w:szCs w:val="21"/>
                <w:highlight w:val="none"/>
              </w:rPr>
            </w:pPr>
          </w:p>
        </w:tc>
        <w:tc>
          <w:tcPr>
            <w:tcW w:w="510" w:type="dxa"/>
            <w:vMerge w:val="continue"/>
            <w:tcBorders>
              <w:top w:val="nil"/>
              <w:left w:val="single" w:color="auto" w:sz="4" w:space="0"/>
              <w:bottom w:val="single" w:color="auto" w:sz="4" w:space="0"/>
              <w:right w:val="single" w:color="auto" w:sz="4" w:space="0"/>
            </w:tcBorders>
            <w:vAlign w:val="center"/>
          </w:tcPr>
          <w:p w14:paraId="0D733152">
            <w:pPr>
              <w:snapToGrid w:val="0"/>
              <w:spacing w:line="360" w:lineRule="auto"/>
              <w:rPr>
                <w:rFonts w:asciiTheme="minorEastAsia" w:hAnsiTheme="minorEastAsia" w:eastAsiaTheme="minorEastAsia" w:cstheme="minorEastAsia"/>
                <w:b/>
                <w:bCs/>
                <w:color w:val="auto"/>
                <w:szCs w:val="21"/>
                <w:highlight w:val="none"/>
              </w:rPr>
            </w:pPr>
          </w:p>
        </w:tc>
        <w:tc>
          <w:tcPr>
            <w:tcW w:w="495" w:type="dxa"/>
            <w:vMerge w:val="continue"/>
            <w:tcBorders>
              <w:top w:val="nil"/>
              <w:left w:val="single" w:color="auto" w:sz="4" w:space="0"/>
              <w:bottom w:val="single" w:color="auto" w:sz="4" w:space="0"/>
              <w:right w:val="single" w:color="auto" w:sz="4" w:space="0"/>
            </w:tcBorders>
            <w:vAlign w:val="center"/>
          </w:tcPr>
          <w:p w14:paraId="1F3E9DD6">
            <w:pPr>
              <w:snapToGrid w:val="0"/>
              <w:spacing w:line="360" w:lineRule="auto"/>
              <w:rPr>
                <w:rFonts w:asciiTheme="minorEastAsia" w:hAnsiTheme="minorEastAsia" w:eastAsiaTheme="minorEastAsia" w:cstheme="minorEastAsia"/>
                <w:b/>
                <w:bCs/>
                <w:color w:val="auto"/>
                <w:szCs w:val="21"/>
                <w:highlight w:val="none"/>
              </w:rPr>
            </w:pPr>
          </w:p>
        </w:tc>
        <w:tc>
          <w:tcPr>
            <w:tcW w:w="630" w:type="dxa"/>
            <w:vMerge w:val="continue"/>
            <w:tcBorders>
              <w:top w:val="nil"/>
              <w:left w:val="single" w:color="auto" w:sz="4" w:space="0"/>
              <w:bottom w:val="single" w:color="auto" w:sz="4" w:space="0"/>
              <w:right w:val="single" w:color="auto" w:sz="4" w:space="0"/>
            </w:tcBorders>
            <w:vAlign w:val="center"/>
          </w:tcPr>
          <w:p w14:paraId="4D3084D1">
            <w:pPr>
              <w:snapToGrid w:val="0"/>
              <w:spacing w:line="360" w:lineRule="auto"/>
              <w:rPr>
                <w:rFonts w:asciiTheme="minorEastAsia" w:hAnsiTheme="minorEastAsia" w:eastAsiaTheme="minorEastAsia" w:cstheme="minorEastAsia"/>
                <w:b/>
                <w:bCs/>
                <w:color w:val="auto"/>
                <w:szCs w:val="21"/>
                <w:highlight w:val="none"/>
              </w:rPr>
            </w:pPr>
          </w:p>
        </w:tc>
        <w:tc>
          <w:tcPr>
            <w:tcW w:w="750" w:type="dxa"/>
            <w:vMerge w:val="continue"/>
            <w:tcBorders>
              <w:top w:val="nil"/>
              <w:left w:val="single" w:color="auto" w:sz="4" w:space="0"/>
              <w:bottom w:val="single" w:color="auto" w:sz="4" w:space="0"/>
              <w:right w:val="single" w:color="auto" w:sz="4" w:space="0"/>
            </w:tcBorders>
            <w:vAlign w:val="center"/>
          </w:tcPr>
          <w:p w14:paraId="79F37628">
            <w:pPr>
              <w:snapToGrid w:val="0"/>
              <w:spacing w:line="360" w:lineRule="auto"/>
              <w:rPr>
                <w:rFonts w:asciiTheme="minorEastAsia" w:hAnsiTheme="minorEastAsia" w:eastAsiaTheme="minorEastAsia" w:cstheme="minorEastAsia"/>
                <w:b/>
                <w:bCs/>
                <w:color w:val="auto"/>
                <w:szCs w:val="21"/>
                <w:highlight w:val="none"/>
              </w:rPr>
            </w:pPr>
          </w:p>
        </w:tc>
        <w:tc>
          <w:tcPr>
            <w:tcW w:w="630" w:type="dxa"/>
            <w:vMerge w:val="continue"/>
            <w:tcBorders>
              <w:top w:val="nil"/>
              <w:left w:val="single" w:color="auto" w:sz="4" w:space="0"/>
              <w:bottom w:val="single" w:color="auto" w:sz="4" w:space="0"/>
              <w:right w:val="single" w:color="auto" w:sz="4" w:space="0"/>
            </w:tcBorders>
            <w:vAlign w:val="center"/>
          </w:tcPr>
          <w:p w14:paraId="4EA31488">
            <w:pPr>
              <w:snapToGrid w:val="0"/>
              <w:spacing w:line="360" w:lineRule="auto"/>
              <w:rPr>
                <w:rFonts w:asciiTheme="minorEastAsia" w:hAnsiTheme="minorEastAsia" w:eastAsiaTheme="minorEastAsia" w:cstheme="minorEastAsia"/>
                <w:b/>
                <w:bCs/>
                <w:color w:val="auto"/>
                <w:szCs w:val="21"/>
                <w:highlight w:val="none"/>
              </w:rPr>
            </w:pPr>
          </w:p>
        </w:tc>
        <w:tc>
          <w:tcPr>
            <w:tcW w:w="915" w:type="dxa"/>
            <w:tcBorders>
              <w:top w:val="nil"/>
              <w:left w:val="nil"/>
              <w:bottom w:val="single" w:color="auto" w:sz="4" w:space="0"/>
              <w:right w:val="single" w:color="auto" w:sz="4" w:space="0"/>
            </w:tcBorders>
            <w:shd w:val="clear" w:color="auto" w:fill="auto"/>
            <w:vAlign w:val="center"/>
          </w:tcPr>
          <w:p w14:paraId="30DB117D">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点位/佣金标准 </w:t>
            </w:r>
          </w:p>
        </w:tc>
        <w:tc>
          <w:tcPr>
            <w:tcW w:w="540" w:type="dxa"/>
            <w:tcBorders>
              <w:top w:val="nil"/>
              <w:left w:val="nil"/>
              <w:bottom w:val="single" w:color="auto" w:sz="4" w:space="0"/>
              <w:right w:val="single" w:color="auto" w:sz="4" w:space="0"/>
            </w:tcBorders>
            <w:shd w:val="clear" w:color="auto" w:fill="auto"/>
            <w:vAlign w:val="center"/>
          </w:tcPr>
          <w:p w14:paraId="308576B7">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佣金</w:t>
            </w:r>
          </w:p>
        </w:tc>
        <w:tc>
          <w:tcPr>
            <w:tcW w:w="675" w:type="dxa"/>
            <w:vMerge w:val="continue"/>
            <w:tcBorders>
              <w:top w:val="nil"/>
              <w:left w:val="single" w:color="auto" w:sz="4" w:space="0"/>
              <w:bottom w:val="single" w:color="auto" w:sz="4" w:space="0"/>
              <w:right w:val="single" w:color="auto" w:sz="4" w:space="0"/>
            </w:tcBorders>
            <w:shd w:val="clear" w:color="auto" w:fill="auto"/>
            <w:vAlign w:val="center"/>
          </w:tcPr>
          <w:p w14:paraId="63D38C7D">
            <w:pPr>
              <w:snapToGrid w:val="0"/>
              <w:spacing w:line="360" w:lineRule="auto"/>
              <w:rPr>
                <w:rFonts w:asciiTheme="minorEastAsia" w:hAnsiTheme="minorEastAsia" w:eastAsiaTheme="minorEastAsia" w:cstheme="minorEastAsia"/>
                <w:bCs/>
                <w:color w:val="auto"/>
                <w:szCs w:val="21"/>
                <w:highlight w:val="none"/>
              </w:rPr>
            </w:pPr>
          </w:p>
        </w:tc>
        <w:tc>
          <w:tcPr>
            <w:tcW w:w="615" w:type="dxa"/>
            <w:tcBorders>
              <w:top w:val="nil"/>
              <w:left w:val="nil"/>
              <w:bottom w:val="single" w:color="auto" w:sz="4" w:space="0"/>
              <w:right w:val="single" w:color="auto" w:sz="4" w:space="0"/>
            </w:tcBorders>
            <w:shd w:val="clear" w:color="auto" w:fill="auto"/>
            <w:vAlign w:val="center"/>
          </w:tcPr>
          <w:p w14:paraId="5F47A42C">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比例 </w:t>
            </w:r>
          </w:p>
        </w:tc>
        <w:tc>
          <w:tcPr>
            <w:tcW w:w="630" w:type="dxa"/>
            <w:tcBorders>
              <w:top w:val="nil"/>
              <w:left w:val="nil"/>
              <w:bottom w:val="single" w:color="auto" w:sz="4" w:space="0"/>
              <w:right w:val="single" w:color="auto" w:sz="4" w:space="0"/>
            </w:tcBorders>
            <w:shd w:val="clear" w:color="auto" w:fill="auto"/>
            <w:vAlign w:val="center"/>
          </w:tcPr>
          <w:p w14:paraId="6A50C987">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结算佣金</w:t>
            </w:r>
          </w:p>
        </w:tc>
        <w:tc>
          <w:tcPr>
            <w:tcW w:w="615" w:type="dxa"/>
            <w:tcBorders>
              <w:top w:val="nil"/>
              <w:left w:val="nil"/>
              <w:bottom w:val="single" w:color="auto" w:sz="4" w:space="0"/>
              <w:right w:val="single" w:color="auto" w:sz="4" w:space="0"/>
            </w:tcBorders>
            <w:shd w:val="clear" w:color="auto" w:fill="auto"/>
            <w:vAlign w:val="center"/>
          </w:tcPr>
          <w:p w14:paraId="647DC565">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 xml:space="preserve"> 比例 </w:t>
            </w:r>
          </w:p>
        </w:tc>
        <w:tc>
          <w:tcPr>
            <w:tcW w:w="825" w:type="dxa"/>
            <w:tcBorders>
              <w:top w:val="nil"/>
              <w:left w:val="nil"/>
              <w:bottom w:val="single" w:color="auto" w:sz="4" w:space="0"/>
              <w:right w:val="single" w:color="auto" w:sz="4" w:space="0"/>
            </w:tcBorders>
            <w:shd w:val="clear" w:color="auto" w:fill="auto"/>
            <w:vAlign w:val="center"/>
          </w:tcPr>
          <w:p w14:paraId="731FFD87">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留存</w:t>
            </w:r>
          </w:p>
          <w:p w14:paraId="124BE844">
            <w:pPr>
              <w:snapToGrid w:val="0"/>
              <w:spacing w:line="360" w:lineRule="auto"/>
              <w:jc w:val="center"/>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佣金</w:t>
            </w:r>
          </w:p>
        </w:tc>
        <w:tc>
          <w:tcPr>
            <w:tcW w:w="707" w:type="dxa"/>
            <w:vMerge w:val="continue"/>
            <w:tcBorders>
              <w:top w:val="nil"/>
              <w:left w:val="single" w:color="auto" w:sz="4" w:space="0"/>
              <w:bottom w:val="single" w:color="000000" w:sz="4" w:space="0"/>
              <w:right w:val="single" w:color="auto" w:sz="4" w:space="0"/>
            </w:tcBorders>
            <w:vAlign w:val="center"/>
          </w:tcPr>
          <w:p w14:paraId="288EC0E3">
            <w:pPr>
              <w:snapToGrid w:val="0"/>
              <w:spacing w:line="360" w:lineRule="auto"/>
              <w:rPr>
                <w:rFonts w:asciiTheme="minorEastAsia" w:hAnsiTheme="minorEastAsia" w:eastAsiaTheme="minorEastAsia" w:cstheme="minorEastAsia"/>
                <w:b/>
                <w:bCs/>
                <w:color w:val="auto"/>
                <w:szCs w:val="21"/>
                <w:highlight w:val="none"/>
              </w:rPr>
            </w:pPr>
          </w:p>
        </w:tc>
      </w:tr>
      <w:tr w14:paraId="1EA4334C">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60C0359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873" w:type="dxa"/>
            <w:tcBorders>
              <w:top w:val="nil"/>
              <w:left w:val="nil"/>
              <w:bottom w:val="single" w:color="auto" w:sz="4" w:space="0"/>
              <w:right w:val="single" w:color="auto" w:sz="4" w:space="0"/>
            </w:tcBorders>
            <w:shd w:val="clear" w:color="auto" w:fill="auto"/>
            <w:vAlign w:val="center"/>
          </w:tcPr>
          <w:p w14:paraId="4D071BE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0071D90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1215A1A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5B29882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094C6E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1B0C10F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192C431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5C7CC2D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30D1181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3C997B9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2641CB9B">
            <w:pPr>
              <w:snapToGrid w:val="0"/>
              <w:spacing w:line="360" w:lineRule="auto"/>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0DDCAB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30EBBC8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6F67F9A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noWrap/>
            <w:vAlign w:val="center"/>
          </w:tcPr>
          <w:p w14:paraId="4FCDD63A">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r>
      <w:tr w14:paraId="6C92157C">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5B3F540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873" w:type="dxa"/>
            <w:tcBorders>
              <w:top w:val="nil"/>
              <w:left w:val="nil"/>
              <w:bottom w:val="single" w:color="auto" w:sz="4" w:space="0"/>
              <w:right w:val="single" w:color="auto" w:sz="4" w:space="0"/>
            </w:tcBorders>
            <w:shd w:val="clear" w:color="auto" w:fill="auto"/>
            <w:vAlign w:val="center"/>
          </w:tcPr>
          <w:p w14:paraId="79AC9DB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1644047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2BD02FB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068D409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57762F4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7F823FC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67C75A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406021E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7242197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48F04AC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2BE9084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59AC6D0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6B203D7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D9BD34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38BD3DB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1D0709C5">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723614C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873" w:type="dxa"/>
            <w:tcBorders>
              <w:top w:val="nil"/>
              <w:left w:val="nil"/>
              <w:bottom w:val="single" w:color="auto" w:sz="4" w:space="0"/>
              <w:right w:val="single" w:color="auto" w:sz="4" w:space="0"/>
            </w:tcBorders>
            <w:shd w:val="clear" w:color="auto" w:fill="auto"/>
            <w:vAlign w:val="center"/>
          </w:tcPr>
          <w:p w14:paraId="36A7235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646E3DD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4E4ED26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761EB59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4930328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4CB05D2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89A09C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6E817F9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4F6655C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7087EF0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4D6CB5F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2F858C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572D25A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FCC403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56E41AE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7D34F6E2">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4C6D4D1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873" w:type="dxa"/>
            <w:tcBorders>
              <w:top w:val="nil"/>
              <w:left w:val="nil"/>
              <w:bottom w:val="single" w:color="auto" w:sz="4" w:space="0"/>
              <w:right w:val="single" w:color="auto" w:sz="4" w:space="0"/>
            </w:tcBorders>
            <w:shd w:val="clear" w:color="auto" w:fill="auto"/>
            <w:vAlign w:val="center"/>
          </w:tcPr>
          <w:p w14:paraId="60142F6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254EA32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6C81735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1E53668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595C0A0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0D310E9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BBEF86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0F5E00C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330A1E6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6345904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38DE0E3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1E90EBC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22EBE2C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E72DF5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575AD17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11EDE072">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00A860E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w:t>
            </w:r>
          </w:p>
        </w:tc>
        <w:tc>
          <w:tcPr>
            <w:tcW w:w="873" w:type="dxa"/>
            <w:tcBorders>
              <w:top w:val="nil"/>
              <w:left w:val="nil"/>
              <w:bottom w:val="single" w:color="auto" w:sz="4" w:space="0"/>
              <w:right w:val="single" w:color="auto" w:sz="4" w:space="0"/>
            </w:tcBorders>
            <w:shd w:val="clear" w:color="auto" w:fill="auto"/>
            <w:vAlign w:val="center"/>
          </w:tcPr>
          <w:p w14:paraId="4FC0D8A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309F5C1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5E18D24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5590D66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09BF49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0CA47B4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8BA9E7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7DDA630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19D975D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06A9F96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1883F5D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E6FB11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4867443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3445D8B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3028451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57FF91C8">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2478878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w:t>
            </w:r>
          </w:p>
        </w:tc>
        <w:tc>
          <w:tcPr>
            <w:tcW w:w="873" w:type="dxa"/>
            <w:tcBorders>
              <w:top w:val="nil"/>
              <w:left w:val="nil"/>
              <w:bottom w:val="single" w:color="auto" w:sz="4" w:space="0"/>
              <w:right w:val="single" w:color="auto" w:sz="4" w:space="0"/>
            </w:tcBorders>
            <w:shd w:val="clear" w:color="auto" w:fill="auto"/>
            <w:vAlign w:val="center"/>
          </w:tcPr>
          <w:p w14:paraId="59B3C84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0E683A9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44B26CD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2B6509A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D8FEA3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535EBA2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031C9F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2F03E1B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255EE87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4545944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6394F00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153E6A4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7D4D7F8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0E5A8E2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6CA3622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3465AA95">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27DE15A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p>
        </w:tc>
        <w:tc>
          <w:tcPr>
            <w:tcW w:w="873" w:type="dxa"/>
            <w:tcBorders>
              <w:top w:val="nil"/>
              <w:left w:val="nil"/>
              <w:bottom w:val="single" w:color="auto" w:sz="4" w:space="0"/>
              <w:right w:val="single" w:color="auto" w:sz="4" w:space="0"/>
            </w:tcBorders>
            <w:shd w:val="clear" w:color="auto" w:fill="auto"/>
            <w:vAlign w:val="center"/>
          </w:tcPr>
          <w:p w14:paraId="56A9D33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3620792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1A67111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086618D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42B4CC7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7DFF7BC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D0C094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5C755DC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03005FA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1F6311C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0B0CE3E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003BBD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5CED43D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18AEE40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7F37718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0BB76B11">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7610CB0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w:t>
            </w:r>
          </w:p>
        </w:tc>
        <w:tc>
          <w:tcPr>
            <w:tcW w:w="873" w:type="dxa"/>
            <w:tcBorders>
              <w:top w:val="nil"/>
              <w:left w:val="nil"/>
              <w:bottom w:val="single" w:color="auto" w:sz="4" w:space="0"/>
              <w:right w:val="single" w:color="auto" w:sz="4" w:space="0"/>
            </w:tcBorders>
            <w:shd w:val="clear" w:color="auto" w:fill="auto"/>
            <w:vAlign w:val="center"/>
          </w:tcPr>
          <w:p w14:paraId="7F1E003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11884BB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193172B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18429F7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652EF3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764EF81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E2F67E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2CD3119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1B57361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06E47A9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44BD45F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1DCD71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390B7AB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32CA37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5064A0D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7B897719">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6DBB69D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w:t>
            </w:r>
          </w:p>
        </w:tc>
        <w:tc>
          <w:tcPr>
            <w:tcW w:w="873" w:type="dxa"/>
            <w:tcBorders>
              <w:top w:val="nil"/>
              <w:left w:val="nil"/>
              <w:bottom w:val="single" w:color="auto" w:sz="4" w:space="0"/>
              <w:right w:val="single" w:color="auto" w:sz="4" w:space="0"/>
            </w:tcBorders>
            <w:shd w:val="clear" w:color="auto" w:fill="auto"/>
            <w:vAlign w:val="center"/>
          </w:tcPr>
          <w:p w14:paraId="0509CF6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291E95F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13EAEFC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558A8D5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F1DBD7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7CCBD06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A527A0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5366232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67701C7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520BBFD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44F1F48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5768934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2EB343A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3492BB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698BE2E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56DAB655">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198786B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p>
        </w:tc>
        <w:tc>
          <w:tcPr>
            <w:tcW w:w="873" w:type="dxa"/>
            <w:tcBorders>
              <w:top w:val="nil"/>
              <w:left w:val="nil"/>
              <w:bottom w:val="single" w:color="auto" w:sz="4" w:space="0"/>
              <w:right w:val="single" w:color="auto" w:sz="4" w:space="0"/>
            </w:tcBorders>
            <w:shd w:val="clear" w:color="auto" w:fill="auto"/>
            <w:vAlign w:val="center"/>
          </w:tcPr>
          <w:p w14:paraId="146F248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428AA04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72D878D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24DADF1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BD7786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25A4615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1E6658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4A58170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4D6EE41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700E533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4ADED1D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012A4D9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075E020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14D4120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5674463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41D8BFE9">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1CF869B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w:t>
            </w:r>
          </w:p>
        </w:tc>
        <w:tc>
          <w:tcPr>
            <w:tcW w:w="873" w:type="dxa"/>
            <w:tcBorders>
              <w:top w:val="nil"/>
              <w:left w:val="nil"/>
              <w:bottom w:val="single" w:color="auto" w:sz="4" w:space="0"/>
              <w:right w:val="single" w:color="auto" w:sz="4" w:space="0"/>
            </w:tcBorders>
            <w:shd w:val="clear" w:color="auto" w:fill="auto"/>
            <w:vAlign w:val="center"/>
          </w:tcPr>
          <w:p w14:paraId="62B8C10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175F8E8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098C7A9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08D43A1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4830C3C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60D9CAB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EF8946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11DE7EC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797DEB9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1387E22E">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1347466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C192FA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17C5515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36973A6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7BCCE14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2A317ABD">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3B4992D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w:t>
            </w:r>
          </w:p>
        </w:tc>
        <w:tc>
          <w:tcPr>
            <w:tcW w:w="873" w:type="dxa"/>
            <w:tcBorders>
              <w:top w:val="nil"/>
              <w:left w:val="nil"/>
              <w:bottom w:val="single" w:color="auto" w:sz="4" w:space="0"/>
              <w:right w:val="single" w:color="auto" w:sz="4" w:space="0"/>
            </w:tcBorders>
            <w:shd w:val="clear" w:color="auto" w:fill="auto"/>
            <w:vAlign w:val="center"/>
          </w:tcPr>
          <w:p w14:paraId="3912B324">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655EFEA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027F28F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4A93BB3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7170F3F1">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78CF954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CD4324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5131DF0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1ED3B1A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1913E21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7F5CF0F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631C408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34BB690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32FD551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73D86C6C">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5A59A583">
        <w:tblPrEx>
          <w:tblCellMar>
            <w:top w:w="0" w:type="dxa"/>
            <w:left w:w="0" w:type="dxa"/>
            <w:bottom w:w="0" w:type="dxa"/>
            <w:right w:w="0" w:type="dxa"/>
          </w:tblCellMar>
        </w:tblPrEx>
        <w:trPr>
          <w:gridAfter w:val="1"/>
          <w:wAfter w:w="14" w:type="dxa"/>
          <w:trHeight w:val="245" w:hRule="atLeast"/>
          <w:jc w:val="center"/>
        </w:trPr>
        <w:tc>
          <w:tcPr>
            <w:tcW w:w="436" w:type="dxa"/>
            <w:tcBorders>
              <w:top w:val="nil"/>
              <w:left w:val="single" w:color="auto" w:sz="4" w:space="0"/>
              <w:bottom w:val="single" w:color="auto" w:sz="4" w:space="0"/>
              <w:right w:val="single" w:color="auto" w:sz="4" w:space="0"/>
            </w:tcBorders>
            <w:shd w:val="clear" w:color="auto" w:fill="auto"/>
            <w:vAlign w:val="center"/>
          </w:tcPr>
          <w:p w14:paraId="5C9E2759">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n</w:t>
            </w:r>
          </w:p>
        </w:tc>
        <w:tc>
          <w:tcPr>
            <w:tcW w:w="873" w:type="dxa"/>
            <w:tcBorders>
              <w:top w:val="nil"/>
              <w:left w:val="nil"/>
              <w:bottom w:val="single" w:color="auto" w:sz="4" w:space="0"/>
              <w:right w:val="single" w:color="auto" w:sz="4" w:space="0"/>
            </w:tcBorders>
            <w:shd w:val="clear" w:color="auto" w:fill="auto"/>
            <w:vAlign w:val="center"/>
          </w:tcPr>
          <w:p w14:paraId="2A50744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30" w:type="dxa"/>
            <w:tcBorders>
              <w:top w:val="nil"/>
              <w:left w:val="nil"/>
              <w:bottom w:val="single" w:color="auto" w:sz="4" w:space="0"/>
              <w:right w:val="single" w:color="auto" w:sz="4" w:space="0"/>
            </w:tcBorders>
            <w:shd w:val="clear" w:color="auto" w:fill="auto"/>
            <w:vAlign w:val="center"/>
          </w:tcPr>
          <w:p w14:paraId="645CB81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10" w:type="dxa"/>
            <w:tcBorders>
              <w:top w:val="nil"/>
              <w:left w:val="nil"/>
              <w:bottom w:val="single" w:color="auto" w:sz="4" w:space="0"/>
              <w:right w:val="single" w:color="auto" w:sz="4" w:space="0"/>
            </w:tcBorders>
            <w:shd w:val="clear" w:color="auto" w:fill="auto"/>
            <w:vAlign w:val="center"/>
          </w:tcPr>
          <w:p w14:paraId="450DA20F">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495" w:type="dxa"/>
            <w:tcBorders>
              <w:top w:val="nil"/>
              <w:left w:val="nil"/>
              <w:bottom w:val="single" w:color="auto" w:sz="4" w:space="0"/>
              <w:right w:val="single" w:color="auto" w:sz="4" w:space="0"/>
            </w:tcBorders>
            <w:shd w:val="clear" w:color="auto" w:fill="auto"/>
            <w:vAlign w:val="center"/>
          </w:tcPr>
          <w:p w14:paraId="6823461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34F135C0">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0F3E88F7">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19802E3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915" w:type="dxa"/>
            <w:tcBorders>
              <w:top w:val="nil"/>
              <w:left w:val="nil"/>
              <w:bottom w:val="single" w:color="auto" w:sz="4" w:space="0"/>
              <w:right w:val="single" w:color="auto" w:sz="4" w:space="0"/>
            </w:tcBorders>
            <w:shd w:val="clear" w:color="auto" w:fill="auto"/>
            <w:vAlign w:val="center"/>
          </w:tcPr>
          <w:p w14:paraId="410ACE3B">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2BB984AA">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75" w:type="dxa"/>
            <w:tcBorders>
              <w:top w:val="nil"/>
              <w:left w:val="nil"/>
              <w:bottom w:val="single" w:color="auto" w:sz="4" w:space="0"/>
              <w:right w:val="single" w:color="auto" w:sz="4" w:space="0"/>
            </w:tcBorders>
            <w:shd w:val="clear" w:color="auto" w:fill="auto"/>
            <w:vAlign w:val="center"/>
          </w:tcPr>
          <w:p w14:paraId="23FEE1F5">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2362374D">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30" w:type="dxa"/>
            <w:tcBorders>
              <w:top w:val="nil"/>
              <w:left w:val="nil"/>
              <w:bottom w:val="single" w:color="auto" w:sz="4" w:space="0"/>
              <w:right w:val="single" w:color="auto" w:sz="4" w:space="0"/>
            </w:tcBorders>
            <w:shd w:val="clear" w:color="auto" w:fill="auto"/>
            <w:vAlign w:val="center"/>
          </w:tcPr>
          <w:p w14:paraId="25429002">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57AC7278">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40984896">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c>
          <w:tcPr>
            <w:tcW w:w="707" w:type="dxa"/>
            <w:tcBorders>
              <w:top w:val="nil"/>
              <w:left w:val="nil"/>
              <w:bottom w:val="single" w:color="auto" w:sz="4" w:space="0"/>
              <w:right w:val="single" w:color="auto" w:sz="4" w:space="0"/>
            </w:tcBorders>
            <w:shd w:val="clear" w:color="auto" w:fill="auto"/>
            <w:vAlign w:val="center"/>
          </w:tcPr>
          <w:p w14:paraId="426BA543">
            <w:pPr>
              <w:snapToGrid w:val="0"/>
              <w:spacing w:line="360" w:lineRule="auto"/>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w:t>
            </w:r>
          </w:p>
        </w:tc>
      </w:tr>
      <w:tr w14:paraId="02EAE7EC">
        <w:tblPrEx>
          <w:tblCellMar>
            <w:top w:w="0" w:type="dxa"/>
            <w:left w:w="0" w:type="dxa"/>
            <w:bottom w:w="0" w:type="dxa"/>
            <w:right w:w="0" w:type="dxa"/>
          </w:tblCellMar>
        </w:tblPrEx>
        <w:trPr>
          <w:gridAfter w:val="1"/>
          <w:wAfter w:w="14" w:type="dxa"/>
          <w:trHeight w:val="245" w:hRule="atLeast"/>
          <w:jc w:val="center"/>
        </w:trPr>
        <w:tc>
          <w:tcPr>
            <w:tcW w:w="2749"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0F041ECC">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合计</w:t>
            </w:r>
          </w:p>
        </w:tc>
        <w:tc>
          <w:tcPr>
            <w:tcW w:w="495" w:type="dxa"/>
            <w:tcBorders>
              <w:top w:val="nil"/>
              <w:left w:val="nil"/>
              <w:bottom w:val="single" w:color="auto" w:sz="4" w:space="0"/>
              <w:right w:val="single" w:color="auto" w:sz="4" w:space="0"/>
            </w:tcBorders>
            <w:shd w:val="clear" w:color="auto" w:fill="auto"/>
            <w:vAlign w:val="center"/>
          </w:tcPr>
          <w:p w14:paraId="76BD8040">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630" w:type="dxa"/>
            <w:tcBorders>
              <w:top w:val="nil"/>
              <w:left w:val="nil"/>
              <w:bottom w:val="single" w:color="auto" w:sz="4" w:space="0"/>
              <w:right w:val="single" w:color="auto" w:sz="4" w:space="0"/>
            </w:tcBorders>
            <w:shd w:val="clear" w:color="auto" w:fill="auto"/>
            <w:vAlign w:val="center"/>
          </w:tcPr>
          <w:p w14:paraId="7128CEE5">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c>
          <w:tcPr>
            <w:tcW w:w="750" w:type="dxa"/>
            <w:tcBorders>
              <w:top w:val="nil"/>
              <w:left w:val="nil"/>
              <w:bottom w:val="single" w:color="auto" w:sz="4" w:space="0"/>
              <w:right w:val="single" w:color="auto" w:sz="4" w:space="0"/>
            </w:tcBorders>
            <w:shd w:val="clear" w:color="auto" w:fill="auto"/>
            <w:vAlign w:val="center"/>
          </w:tcPr>
          <w:p w14:paraId="67FFC017">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630" w:type="dxa"/>
            <w:tcBorders>
              <w:top w:val="nil"/>
              <w:left w:val="nil"/>
              <w:bottom w:val="single" w:color="auto" w:sz="4" w:space="0"/>
              <w:right w:val="single" w:color="auto" w:sz="4" w:space="0"/>
            </w:tcBorders>
            <w:shd w:val="clear" w:color="auto" w:fill="auto"/>
            <w:vAlign w:val="center"/>
          </w:tcPr>
          <w:p w14:paraId="3DBFFA60">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915" w:type="dxa"/>
            <w:tcBorders>
              <w:top w:val="nil"/>
              <w:left w:val="nil"/>
              <w:bottom w:val="single" w:color="auto" w:sz="4" w:space="0"/>
              <w:right w:val="single" w:color="auto" w:sz="4" w:space="0"/>
            </w:tcBorders>
            <w:shd w:val="clear" w:color="auto" w:fill="auto"/>
            <w:vAlign w:val="center"/>
          </w:tcPr>
          <w:p w14:paraId="3D55ACD6">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c>
          <w:tcPr>
            <w:tcW w:w="540" w:type="dxa"/>
            <w:tcBorders>
              <w:top w:val="nil"/>
              <w:left w:val="nil"/>
              <w:bottom w:val="single" w:color="auto" w:sz="4" w:space="0"/>
              <w:right w:val="single" w:color="auto" w:sz="4" w:space="0"/>
            </w:tcBorders>
            <w:shd w:val="clear" w:color="auto" w:fill="auto"/>
            <w:vAlign w:val="center"/>
          </w:tcPr>
          <w:p w14:paraId="39D49367">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675" w:type="dxa"/>
            <w:tcBorders>
              <w:top w:val="nil"/>
              <w:left w:val="nil"/>
              <w:bottom w:val="single" w:color="auto" w:sz="4" w:space="0"/>
              <w:right w:val="single" w:color="auto" w:sz="4" w:space="0"/>
            </w:tcBorders>
            <w:shd w:val="clear" w:color="auto" w:fill="auto"/>
            <w:vAlign w:val="center"/>
          </w:tcPr>
          <w:p w14:paraId="70978C6E">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7B3BFDAE">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630" w:type="dxa"/>
            <w:tcBorders>
              <w:top w:val="nil"/>
              <w:left w:val="nil"/>
              <w:bottom w:val="single" w:color="auto" w:sz="4" w:space="0"/>
              <w:right w:val="single" w:color="auto" w:sz="4" w:space="0"/>
            </w:tcBorders>
            <w:shd w:val="clear" w:color="auto" w:fill="auto"/>
            <w:vAlign w:val="center"/>
          </w:tcPr>
          <w:p w14:paraId="3FEE0C73">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c>
          <w:tcPr>
            <w:tcW w:w="615" w:type="dxa"/>
            <w:tcBorders>
              <w:top w:val="nil"/>
              <w:left w:val="nil"/>
              <w:bottom w:val="single" w:color="auto" w:sz="4" w:space="0"/>
              <w:right w:val="single" w:color="auto" w:sz="4" w:space="0"/>
            </w:tcBorders>
            <w:shd w:val="clear" w:color="auto" w:fill="auto"/>
            <w:vAlign w:val="center"/>
          </w:tcPr>
          <w:p w14:paraId="6D22F717">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c>
          <w:tcPr>
            <w:tcW w:w="825" w:type="dxa"/>
            <w:tcBorders>
              <w:top w:val="nil"/>
              <w:left w:val="nil"/>
              <w:bottom w:val="single" w:color="auto" w:sz="4" w:space="0"/>
              <w:right w:val="single" w:color="auto" w:sz="4" w:space="0"/>
            </w:tcBorders>
            <w:shd w:val="clear" w:color="auto" w:fill="auto"/>
            <w:vAlign w:val="center"/>
          </w:tcPr>
          <w:p w14:paraId="67B939D7">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0</w:t>
            </w:r>
          </w:p>
        </w:tc>
        <w:tc>
          <w:tcPr>
            <w:tcW w:w="707" w:type="dxa"/>
            <w:tcBorders>
              <w:top w:val="nil"/>
              <w:left w:val="nil"/>
              <w:bottom w:val="single" w:color="auto" w:sz="4" w:space="0"/>
              <w:right w:val="single" w:color="auto" w:sz="4" w:space="0"/>
            </w:tcBorders>
            <w:shd w:val="clear" w:color="auto" w:fill="auto"/>
            <w:vAlign w:val="center"/>
          </w:tcPr>
          <w:p w14:paraId="0A481EAD">
            <w:pPr>
              <w:snapToGrid w:val="0"/>
              <w:spacing w:line="360" w:lineRule="auto"/>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w:t>
            </w:r>
          </w:p>
        </w:tc>
      </w:tr>
    </w:tbl>
    <w:p w14:paraId="479C2338">
      <w:pPr>
        <w:widowControl/>
        <w:adjustRightInd w:val="0"/>
        <w:snapToGrid w:val="0"/>
        <w:spacing w:line="360" w:lineRule="auto"/>
        <w:jc w:val="left"/>
        <w:rPr>
          <w:rFonts w:asciiTheme="minorEastAsia" w:hAnsiTheme="minorEastAsia" w:eastAsiaTheme="minorEastAsia" w:cstheme="minorEastAsia"/>
          <w:color w:val="auto"/>
          <w:kern w:val="0"/>
          <w:szCs w:val="21"/>
          <w:highlight w:val="none"/>
        </w:rPr>
        <w:sectPr>
          <w:headerReference r:id="rId8" w:type="default"/>
          <w:footerReference r:id="rId9" w:type="default"/>
          <w:type w:val="continuous"/>
          <w:pgSz w:w="11906" w:h="16838"/>
          <w:pgMar w:top="1440" w:right="1080" w:bottom="1440" w:left="1080" w:header="851" w:footer="992" w:gutter="0"/>
          <w:pgNumType w:fmt="decimal"/>
          <w:cols w:space="720" w:num="1"/>
          <w:docGrid w:type="lines" w:linePitch="312" w:charSpace="0"/>
        </w:sectPr>
      </w:pPr>
    </w:p>
    <w:p w14:paraId="656F1C36">
      <w:pPr>
        <w:widowControl/>
        <w:adjustRightInd w:val="0"/>
        <w:snapToGrid w:val="0"/>
        <w:spacing w:line="360" w:lineRule="auto"/>
        <w:ind w:right="180"/>
        <w:jc w:val="right"/>
        <w:rPr>
          <w:rFonts w:asciiTheme="minorEastAsia" w:hAnsiTheme="minorEastAsia" w:eastAsiaTheme="minorEastAsia" w:cstheme="minorEastAsia"/>
          <w:color w:val="auto"/>
          <w:kern w:val="0"/>
          <w:sz w:val="18"/>
          <w:szCs w:val="21"/>
          <w:highlight w:val="none"/>
        </w:rPr>
        <w:sectPr>
          <w:type w:val="continuous"/>
          <w:pgSz w:w="11906" w:h="16838"/>
          <w:pgMar w:top="1440" w:right="1080" w:bottom="1440" w:left="1080" w:header="851" w:footer="992" w:gutter="0"/>
          <w:pgNumType w:fmt="decimal"/>
          <w:cols w:space="720" w:num="2"/>
          <w:docGrid w:type="lines" w:linePitch="312" w:charSpace="0"/>
        </w:sectPr>
      </w:pPr>
    </w:p>
    <w:p w14:paraId="7441A1A6">
      <w:pPr>
        <w:adjustRightInd w:val="0"/>
        <w:snapToGrid w:val="0"/>
        <w:spacing w:line="360" w:lineRule="auto"/>
        <w:jc w:val="left"/>
        <w:rPr>
          <w:rFonts w:asciiTheme="minorEastAsia" w:hAnsiTheme="minorEastAsia" w:eastAsiaTheme="minorEastAsia" w:cstheme="minorEastAsia"/>
          <w:b/>
          <w:bCs/>
          <w:color w:val="auto"/>
          <w:sz w:val="18"/>
          <w:szCs w:val="18"/>
          <w:highlight w:val="none"/>
        </w:rPr>
      </w:pPr>
    </w:p>
    <w:p w14:paraId="7ADBE9A8">
      <w:pPr>
        <w:adjustRightInd w:val="0"/>
        <w:snapToGrid w:val="0"/>
        <w:spacing w:line="360" w:lineRule="auto"/>
        <w:ind w:firstLine="630" w:firstLineChars="3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乙方：</w:t>
      </w:r>
      <w:r>
        <w:rPr>
          <w:rFonts w:hint="eastAsia" w:asciiTheme="minorEastAsia" w:hAnsiTheme="minorEastAsia" w:eastAsiaTheme="minorEastAsia" w:cstheme="minorEastAsia"/>
          <w:color w:val="auto"/>
          <w:szCs w:val="21"/>
          <w:highlight w:val="none"/>
        </w:rPr>
        <w:tab/>
      </w:r>
    </w:p>
    <w:p w14:paraId="0016E341">
      <w:pPr>
        <w:adjustRightInd w:val="0"/>
        <w:snapToGrid w:val="0"/>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签字或盖章：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签字或盖章：</w:t>
      </w:r>
      <w:r>
        <w:rPr>
          <w:rFonts w:hint="eastAsia" w:asciiTheme="minorEastAsia" w:hAnsiTheme="minorEastAsia" w:eastAsiaTheme="minorEastAsia" w:cstheme="minorEastAsia"/>
          <w:color w:val="auto"/>
          <w:szCs w:val="21"/>
          <w:highlight w:val="none"/>
        </w:rPr>
        <w:tab/>
      </w:r>
    </w:p>
    <w:p w14:paraId="5F3C0DA1">
      <w:pPr>
        <w:adjustRightInd w:val="0"/>
        <w:snapToGrid w:val="0"/>
        <w:spacing w:line="360" w:lineRule="auto"/>
        <w:ind w:firstLine="630" w:firstLineChars="3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zCs w:val="21"/>
          <w:highlight w:val="none"/>
        </w:rPr>
        <w:tab/>
      </w:r>
    </w:p>
    <w:p w14:paraId="4A2D8C2E">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658C91D2">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01CB4156">
      <w:pPr>
        <w:widowControl/>
        <w:adjustRightInd w:val="0"/>
        <w:snapToGrid w:val="0"/>
        <w:spacing w:line="360" w:lineRule="auto"/>
        <w:jc w:val="left"/>
        <w:rPr>
          <w:rFonts w:hint="eastAsia" w:asciiTheme="minorEastAsia" w:hAnsiTheme="minorEastAsia" w:eastAsiaTheme="minorEastAsia" w:cstheme="minorEastAsia"/>
          <w:color w:val="auto"/>
          <w:sz w:val="16"/>
          <w:highlight w:val="none"/>
        </w:rPr>
      </w:pPr>
    </w:p>
    <w:p w14:paraId="2A3CE276">
      <w:pPr>
        <w:tabs>
          <w:tab w:val="left" w:pos="1260"/>
          <w:tab w:val="center" w:pos="4156"/>
        </w:tabs>
        <w:adjustRightInd w:val="0"/>
        <w:snapToGrid w:val="0"/>
        <w:spacing w:line="360" w:lineRule="auto"/>
        <w:ind w:firstLine="210" w:firstLineChars="100"/>
        <w:rPr>
          <w:rFonts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 xml:space="preserve">注：1. </w:t>
      </w:r>
      <w:r>
        <w:rPr>
          <w:rFonts w:hint="eastAsia" w:asciiTheme="minorEastAsia" w:hAnsiTheme="minorEastAsia" w:eastAsiaTheme="minorEastAsia" w:cstheme="minorEastAsia"/>
          <w:color w:val="auto"/>
          <w:kern w:val="0"/>
          <w:szCs w:val="21"/>
          <w:highlight w:val="none"/>
        </w:rPr>
        <w:t>本确认单一式三份，分销公司经纪人、甲方、乙方各执一份。</w:t>
      </w:r>
    </w:p>
    <w:p w14:paraId="43266C0A">
      <w:pPr>
        <w:tabs>
          <w:tab w:val="left" w:pos="1260"/>
          <w:tab w:val="center" w:pos="4156"/>
        </w:tabs>
        <w:adjustRightInd w:val="0"/>
        <w:snapToGrid w:val="0"/>
        <w:spacing w:line="360" w:lineRule="auto"/>
        <w:ind w:firstLine="630" w:firstLineChars="300"/>
        <w:rPr>
          <w:rFonts w:hint="eastAsia" w:asciiTheme="minorEastAsia" w:hAnsiTheme="minorEastAsia" w:eastAsiaTheme="minorEastAsia" w:cstheme="minorEastAsia"/>
          <w:color w:val="auto"/>
          <w:kern w:val="0"/>
          <w:sz w:val="21"/>
          <w:szCs w:val="21"/>
          <w:highlight w:val="none"/>
        </w:rPr>
        <w:sectPr>
          <w:type w:val="continuous"/>
          <w:pgSz w:w="11906" w:h="16838"/>
          <w:pgMar w:top="1440" w:right="1080" w:bottom="1440" w:left="1080"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1"/>
          <w:szCs w:val="21"/>
          <w:highlight w:val="none"/>
          <w:lang w:val="en-US" w:eastAsia="zh-CN"/>
        </w:rPr>
        <w:t xml:space="preserve">2. </w:t>
      </w:r>
      <w:r>
        <w:rPr>
          <w:rFonts w:hint="eastAsia" w:asciiTheme="minorEastAsia" w:hAnsiTheme="minorEastAsia" w:eastAsiaTheme="minorEastAsia" w:cstheme="minorEastAsia"/>
          <w:color w:val="auto"/>
          <w:kern w:val="0"/>
          <w:sz w:val="21"/>
          <w:szCs w:val="21"/>
          <w:highlight w:val="none"/>
        </w:rPr>
        <w:t>若与实际使用不一致的，则以实际使用为准，不影响佣金结算</w:t>
      </w:r>
    </w:p>
    <w:p w14:paraId="25D3FA1A">
      <w:pPr>
        <w:snapToGrid w:val="0"/>
        <w:spacing w:line="360" w:lineRule="auto"/>
        <w:jc w:val="left"/>
        <w:rPr>
          <w:rFonts w:asciiTheme="minorEastAsia" w:hAnsiTheme="minorEastAsia" w:eastAsiaTheme="minorEastAsia" w:cstheme="minorEastAsia"/>
          <w:color w:val="auto"/>
          <w:sz w:val="24"/>
          <w:highlight w:val="none"/>
        </w:rPr>
      </w:pPr>
    </w:p>
    <w:p w14:paraId="431D4F80">
      <w:pPr>
        <w:rPr>
          <w:color w:val="auto"/>
          <w:highlight w:val="none"/>
        </w:rPr>
      </w:pPr>
    </w:p>
    <w:p w14:paraId="109DD19B">
      <w:pPr>
        <w:widowControl/>
        <w:snapToGrid w:val="0"/>
        <w:jc w:val="left"/>
        <w:rPr>
          <w:rFonts w:hint="default"/>
          <w:b/>
          <w:bCs/>
          <w:color w:val="auto"/>
          <w:sz w:val="24"/>
          <w:szCs w:val="24"/>
          <w:highlight w:val="none"/>
          <w:lang w:val="en-US" w:eastAsia="zh-CN"/>
        </w:rPr>
      </w:pPr>
    </w:p>
    <w:p w14:paraId="580B7BFF">
      <w:pPr>
        <w:widowControl/>
        <w:snapToGrid w:val="0"/>
        <w:jc w:val="left"/>
        <w:rPr>
          <w:rFonts w:hint="default"/>
          <w:b/>
          <w:bCs/>
          <w:color w:val="auto"/>
          <w:sz w:val="24"/>
          <w:szCs w:val="24"/>
          <w:highlight w:val="none"/>
          <w:lang w:val="en-US" w:eastAsia="zh-CN"/>
        </w:rPr>
      </w:pPr>
    </w:p>
    <w:sectPr>
      <w:headerReference r:id="rId10" w:type="default"/>
      <w:footerReference r:id="rId11" w:type="default"/>
      <w:type w:val="continuous"/>
      <w:pgSz w:w="11906" w:h="16838"/>
      <w:pgMar w:top="1080" w:right="1440" w:bottom="1080" w:left="1440"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6ABF9">
    <w:pPr>
      <w:pStyle w:val="3"/>
      <w:jc w:val="center"/>
    </w:pPr>
  </w:p>
  <w:p w14:paraId="3D5B97D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2503">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2C5F3">
                          <w:pPr>
                            <w:pStyle w:val="3"/>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72C5F3">
                    <w:pPr>
                      <w:pStyle w:val="3"/>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p w14:paraId="378E7F05">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E4D7">
    <w:pPr>
      <w:pStyle w:val="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BC611">
                          <w:pPr>
                            <w:pStyle w:val="3"/>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8BBC611">
                    <w:pPr>
                      <w:pStyle w:val="3"/>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p w14:paraId="0486787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36CD">
    <w:pPr>
      <w:pStyle w:val="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D820C">
                          <w:pPr>
                            <w:pStyle w:val="3"/>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A1D820C">
                    <w:pPr>
                      <w:pStyle w:val="3"/>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p w14:paraId="0FFD8C4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3FB58">
    <w:pPr>
      <w:pStyle w:val="3"/>
      <w:framePr w:wrap="around" w:vAnchor="text" w:hAnchor="margin" w:xAlign="center" w:y="1"/>
    </w:pPr>
  </w:p>
  <w:p w14:paraId="3461384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B8F7B">
    <w:pPr>
      <w:pStyle w:val="4"/>
      <w:ind w:firstLine="7020" w:firstLineChars="3900"/>
      <w:jc w:val="both"/>
      <w:rPr>
        <w:rFonts w:hint="default" w:eastAsia="宋体"/>
        <w:lang w:val="en-US" w:eastAsia="zh-CN"/>
      </w:rPr>
    </w:pPr>
    <w:r>
      <w:rPr>
        <w:rFonts w:hint="eastAsia"/>
      </w:rPr>
      <w:drawing>
        <wp:anchor distT="0" distB="0" distL="114300" distR="114300" simplePos="0" relativeHeight="251660288" behindDoc="0" locked="0" layoutInCell="1" allowOverlap="1">
          <wp:simplePos x="0" y="0"/>
          <wp:positionH relativeFrom="column">
            <wp:posOffset>2725420</wp:posOffset>
          </wp:positionH>
          <wp:positionV relativeFrom="paragraph">
            <wp:posOffset>-344170</wp:posOffset>
          </wp:positionV>
          <wp:extent cx="1023620" cy="589915"/>
          <wp:effectExtent l="0" t="0" r="5080" b="635"/>
          <wp:wrapNone/>
          <wp:docPr id="3" name="图片 3" descr="黑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logo2"/>
                  <pic:cNvPicPr>
                    <a:picLocks noChangeAspect="1"/>
                  </pic:cNvPicPr>
                </pic:nvPicPr>
                <pic:blipFill>
                  <a:blip r:embed="rId1"/>
                  <a:stretch>
                    <a:fillRect/>
                  </a:stretch>
                </pic:blipFill>
                <pic:spPr>
                  <a:xfrm>
                    <a:off x="0" y="0"/>
                    <a:ext cx="1023620" cy="589915"/>
                  </a:xfrm>
                  <a:prstGeom prst="rect">
                    <a:avLst/>
                  </a:prstGeom>
                  <a:noFill/>
                  <a:ln w="9525">
                    <a:noFill/>
                  </a:ln>
                </pic:spPr>
              </pic:pic>
            </a:graphicData>
          </a:graphic>
        </wp:anchor>
      </w:drawing>
    </w:r>
    <w:r>
      <w:rPr>
        <w:rFonts w:hint="eastAsia"/>
      </w:rPr>
      <w:t xml:space="preserve">                           </w:t>
    </w:r>
    <w:r>
      <w:rPr>
        <w:rFonts w:hint="eastAsia"/>
        <w:lang w:val="en-US" w:eastAsia="zh-CN"/>
      </w:rPr>
      <w:t xml:space="preserve">                              </w:t>
    </w:r>
  </w:p>
  <w:p w14:paraId="0B86EBFA">
    <w:pPr>
      <w:pStyle w:val="4"/>
      <w:rPr>
        <w:rFonts w:hint="default" w:eastAsia="宋体"/>
        <w:u w:val="double"/>
        <w:lang w:val="en-US" w:eastAsia="zh-CN"/>
      </w:rPr>
    </w:pPr>
    <w:r>
      <w:rPr>
        <w:rFonts w:hint="eastAsia"/>
        <w:u w:val="double"/>
      </w:rPr>
      <w:t xml:space="preserve">  </w:t>
    </w:r>
    <w:r>
      <w:rPr>
        <w:rFonts w:hint="eastAsia"/>
        <w:u w:val="double"/>
        <w:lang w:val="en-US" w:eastAsia="zh-CN"/>
      </w:rPr>
      <w:t xml:space="preserve">    </w:t>
    </w:r>
    <w:r>
      <w:rPr>
        <w:rFonts w:hint="eastAsia"/>
        <w:u w:val="double"/>
      </w:rPr>
      <w:t xml:space="preserve">                                                </w:t>
    </w:r>
    <w:r>
      <w:rPr>
        <w:rFonts w:hint="eastAsia"/>
        <w:u w:val="double"/>
        <w:lang w:val="en-US" w:eastAsia="zh-CN"/>
      </w:rPr>
      <w:t xml:space="preserve">                    </w:t>
    </w:r>
    <w:r>
      <w:rPr>
        <w:rFonts w:hint="eastAsia"/>
        <w:u w:val="double"/>
      </w:rPr>
      <w:t xml:space="preserve"> </w:t>
    </w:r>
    <w:r>
      <w:rPr>
        <w:rFonts w:hint="eastAsia"/>
        <w:u w:val="double"/>
        <w:lang w:val="en-US" w:eastAsia="zh-CN"/>
      </w:rPr>
      <w:t xml:space="preserve">        </w:t>
    </w:r>
  </w:p>
  <w:p w14:paraId="6FDF7FA8">
    <w:pPr>
      <w:pStyle w:val="4"/>
      <w:tabs>
        <w:tab w:val="center" w:pos="4479"/>
        <w:tab w:val="clear" w:pos="4153"/>
        <w:tab w:val="clear" w:pos="8306"/>
      </w:tabs>
      <w:jc w:val="right"/>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0A03">
    <w:pPr>
      <w:pStyle w:val="4"/>
      <w:pBdr>
        <w:bottom w:val="none" w:color="auto" w:sz="0" w:space="0"/>
      </w:pBdr>
    </w:pPr>
  </w:p>
  <w:p w14:paraId="28DC840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D2767">
    <w:pPr>
      <w:pStyle w:val="4"/>
      <w:pBdr>
        <w:bottom w:val="none" w:color="auto" w:sz="0" w:space="0"/>
      </w:pBdr>
    </w:pPr>
  </w:p>
  <w:p w14:paraId="7522FB4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13A0">
    <w:pPr>
      <w:pStyle w:val="4"/>
      <w:rPr>
        <w:rFonts w:hint="default"/>
        <w:lang w:val="en-US"/>
      </w:rPr>
    </w:pPr>
    <w:r>
      <w:rPr>
        <w:rFonts w:hint="eastAsia"/>
      </w:rPr>
      <w:t xml:space="preserve"> </w:t>
    </w:r>
    <w:r>
      <w:rPr>
        <w:rFonts w:hint="eastAsia"/>
      </w:rPr>
      <w:drawing>
        <wp:inline distT="0" distB="0" distL="114300" distR="114300">
          <wp:extent cx="1023620" cy="589915"/>
          <wp:effectExtent l="0" t="0" r="5080" b="6985"/>
          <wp:docPr id="5" name="图片 5" descr="黑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黑logo2"/>
                  <pic:cNvPicPr>
                    <a:picLocks noChangeAspect="1"/>
                  </pic:cNvPicPr>
                </pic:nvPicPr>
                <pic:blipFill>
                  <a:blip r:embed="rId1"/>
                  <a:stretch>
                    <a:fillRect/>
                  </a:stretch>
                </pic:blipFill>
                <pic:spPr>
                  <a:xfrm>
                    <a:off x="0" y="0"/>
                    <a:ext cx="1023620" cy="589915"/>
                  </a:xfrm>
                  <a:prstGeom prst="rect">
                    <a:avLst/>
                  </a:prstGeom>
                  <a:noFill/>
                  <a:ln w="9525">
                    <a:noFill/>
                  </a:ln>
                </pic:spPr>
              </pic:pic>
            </a:graphicData>
          </a:graphic>
        </wp:inline>
      </w:drawing>
    </w:r>
    <w:r>
      <w:rPr>
        <w:rFonts w:hint="eastAsia"/>
      </w:rPr>
      <w:t xml:space="preserve">                          </w:t>
    </w:r>
    <w:r>
      <w:rPr>
        <w:rFonts w:hint="eastAsia"/>
        <w:lang w:val="en-US" w:eastAsia="zh-CN"/>
      </w:rPr>
      <w:t xml:space="preserve">                              </w:t>
    </w:r>
    <w:r>
      <w:rPr>
        <w:rFonts w:hint="eastAsia"/>
        <w:lang w:eastAsia="zh-CN"/>
      </w:rPr>
      <w:t>编号：</w:t>
    </w:r>
    <w:r>
      <w:rPr>
        <w:rFonts w:hint="eastAsia"/>
      </w:rPr>
      <w:t xml:space="preserve"> </w:t>
    </w:r>
    <w:r>
      <w:rPr>
        <w:rFonts w:hint="eastAsia"/>
        <w:lang w:val="en-US" w:eastAsia="zh-CN"/>
      </w:rPr>
      <w:t>BBFC-TZ</w:t>
    </w:r>
    <w:r>
      <w:rPr>
        <w:rFonts w:hint="eastAsia"/>
      </w:rPr>
      <w:t xml:space="preserve"> </w:t>
    </w:r>
    <w:r>
      <w:rPr>
        <w:rFonts w:hint="eastAsia"/>
        <w:lang w:val="en-US" w:eastAsia="zh-CN"/>
      </w:rPr>
      <w:t xml:space="preserve"> 01-2021</w:t>
    </w:r>
    <w:r>
      <w:rPr>
        <w:rFonts w:hint="eastAsia"/>
      </w:rPr>
      <w:t xml:space="preserve"> </w:t>
    </w:r>
  </w:p>
  <w:p w14:paraId="40B595D0">
    <w:pPr>
      <w:pStyle w:val="4"/>
      <w:ind w:firstLine="7020" w:firstLineChars="3900"/>
      <w:jc w:val="both"/>
      <w:rPr>
        <w:rFonts w:hint="default" w:eastAsia="宋体"/>
        <w:lang w:val="en-US" w:eastAsia="zh-CN"/>
      </w:rPr>
    </w:pPr>
    <w:r>
      <w:rPr>
        <w:rFonts w:hint="eastAsia"/>
        <w:u w:val="single"/>
      </w:rPr>
      <w:t>BoBang House Preperty</w:t>
    </w:r>
  </w:p>
  <w:p w14:paraId="27B2DDD6">
    <w:pPr>
      <w:pStyle w:val="4"/>
      <w:rPr>
        <w:rFonts w:hint="default" w:eastAsia="宋体"/>
        <w:u w:val="double"/>
        <w:lang w:val="en-US" w:eastAsia="zh-CN"/>
      </w:rPr>
    </w:pPr>
    <w:r>
      <w:rPr>
        <w:rFonts w:hint="eastAsia"/>
        <w:u w:val="double"/>
      </w:rPr>
      <w:t xml:space="preserve">  </w:t>
    </w:r>
    <w:r>
      <w:rPr>
        <w:rFonts w:hint="eastAsia"/>
        <w:u w:val="double"/>
        <w:lang w:val="en-US" w:eastAsia="zh-CN"/>
      </w:rPr>
      <w:t xml:space="preserve">    </w:t>
    </w:r>
    <w:r>
      <w:rPr>
        <w:rFonts w:hint="eastAsia"/>
        <w:u w:val="double"/>
      </w:rPr>
      <w:t xml:space="preserve">                                                </w:t>
    </w:r>
    <w:r>
      <w:rPr>
        <w:rFonts w:hint="eastAsia"/>
        <w:u w:val="double"/>
        <w:lang w:val="en-US" w:eastAsia="zh-CN"/>
      </w:rPr>
      <w:t xml:space="preserve">                    </w:t>
    </w:r>
    <w:r>
      <w:rPr>
        <w:rFonts w:hint="eastAsia"/>
        <w:u w:val="double"/>
      </w:rPr>
      <w:t xml:space="preserve">  新疆博邦房产物业经纪有限公司</w:t>
    </w:r>
    <w:r>
      <w:rPr>
        <w:rFonts w:hint="eastAsia"/>
        <w:u w:val="double"/>
        <w:lang w:val="en-US" w:eastAsia="zh-CN"/>
      </w:rPr>
      <w:t xml:space="preserve">        </w:t>
    </w:r>
  </w:p>
  <w:p w14:paraId="4F255AD8">
    <w:pPr>
      <w:pStyle w:val="4"/>
      <w:tabs>
        <w:tab w:val="center" w:pos="4479"/>
        <w:tab w:val="clear" w:pos="4153"/>
        <w:tab w:val="clear" w:pos="8306"/>
      </w:tabs>
      <w:jc w:val="right"/>
    </w:pPr>
    <w:r>
      <w:tab/>
    </w:r>
    <w:r>
      <w:rPr>
        <w:rFonts w:hint="eastAsia"/>
      </w:rPr>
      <w:t>项目渠道服务合同</w:t>
    </w:r>
  </w:p>
  <w:p w14:paraId="305FC223">
    <w:pPr>
      <w:pStyle w:val="4"/>
      <w:pBdr>
        <w:bottom w:val="none" w:color="auto" w:sz="0" w:space="0"/>
      </w:pBdr>
    </w:pPr>
  </w:p>
  <w:p w14:paraId="09845E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A0AA7"/>
    <w:multiLevelType w:val="singleLevel"/>
    <w:tmpl w:val="AE2A0AA7"/>
    <w:lvl w:ilvl="0" w:tentative="0">
      <w:start w:val="1"/>
      <w:numFmt w:val="decimal"/>
      <w:lvlText w:val="%1."/>
      <w:lvlJc w:val="left"/>
      <w:pPr>
        <w:tabs>
          <w:tab w:val="left" w:pos="312"/>
        </w:tabs>
      </w:pPr>
    </w:lvl>
  </w:abstractNum>
  <w:abstractNum w:abstractNumId="1">
    <w:nsid w:val="D6EEE1CE"/>
    <w:multiLevelType w:val="singleLevel"/>
    <w:tmpl w:val="D6EEE1CE"/>
    <w:lvl w:ilvl="0" w:tentative="0">
      <w:start w:val="3"/>
      <w:numFmt w:val="decimal"/>
      <w:lvlText w:val="%1."/>
      <w:lvlJc w:val="left"/>
      <w:pPr>
        <w:tabs>
          <w:tab w:val="left" w:pos="312"/>
        </w:tabs>
      </w:pPr>
    </w:lvl>
  </w:abstractNum>
  <w:abstractNum w:abstractNumId="2">
    <w:nsid w:val="F5ADC711"/>
    <w:multiLevelType w:val="singleLevel"/>
    <w:tmpl w:val="F5ADC711"/>
    <w:lvl w:ilvl="0" w:tentative="0">
      <w:start w:val="1"/>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N2RlMGRjOTRmZTk1ZGVjOGQ0YTU0ZmRhOTg5OWUifQ=="/>
  </w:docVars>
  <w:rsids>
    <w:rsidRoot w:val="5890190B"/>
    <w:rsid w:val="00855D24"/>
    <w:rsid w:val="00977B14"/>
    <w:rsid w:val="00D22933"/>
    <w:rsid w:val="01EF64DD"/>
    <w:rsid w:val="02B44ECA"/>
    <w:rsid w:val="034070CD"/>
    <w:rsid w:val="0397768D"/>
    <w:rsid w:val="03E420C2"/>
    <w:rsid w:val="04E22A33"/>
    <w:rsid w:val="05384E51"/>
    <w:rsid w:val="057D2EB5"/>
    <w:rsid w:val="07577D1C"/>
    <w:rsid w:val="07BE630C"/>
    <w:rsid w:val="083F4044"/>
    <w:rsid w:val="08DC740B"/>
    <w:rsid w:val="09036094"/>
    <w:rsid w:val="09202E7E"/>
    <w:rsid w:val="0AA673E5"/>
    <w:rsid w:val="0C89387F"/>
    <w:rsid w:val="0D0C4023"/>
    <w:rsid w:val="0D256C17"/>
    <w:rsid w:val="0E665AEA"/>
    <w:rsid w:val="0F0F7DBF"/>
    <w:rsid w:val="106332BD"/>
    <w:rsid w:val="108B15A6"/>
    <w:rsid w:val="11186A50"/>
    <w:rsid w:val="118D617D"/>
    <w:rsid w:val="12C87DE1"/>
    <w:rsid w:val="12CD73C6"/>
    <w:rsid w:val="13417181"/>
    <w:rsid w:val="141825DA"/>
    <w:rsid w:val="1552545A"/>
    <w:rsid w:val="160A48EA"/>
    <w:rsid w:val="1638724C"/>
    <w:rsid w:val="1671418A"/>
    <w:rsid w:val="173A2EC4"/>
    <w:rsid w:val="186513F7"/>
    <w:rsid w:val="1884666F"/>
    <w:rsid w:val="189121EC"/>
    <w:rsid w:val="189C2E4A"/>
    <w:rsid w:val="19A73516"/>
    <w:rsid w:val="19B14A00"/>
    <w:rsid w:val="19F86956"/>
    <w:rsid w:val="1C5A5BED"/>
    <w:rsid w:val="1C715D7E"/>
    <w:rsid w:val="1F857561"/>
    <w:rsid w:val="1FA76D75"/>
    <w:rsid w:val="219F7B0F"/>
    <w:rsid w:val="234407C8"/>
    <w:rsid w:val="23D661C0"/>
    <w:rsid w:val="24A75CC0"/>
    <w:rsid w:val="27191CCA"/>
    <w:rsid w:val="272D3CB4"/>
    <w:rsid w:val="283D0853"/>
    <w:rsid w:val="28C75B62"/>
    <w:rsid w:val="2A2521EC"/>
    <w:rsid w:val="2B3337F6"/>
    <w:rsid w:val="2E5A3DAC"/>
    <w:rsid w:val="2EDB119D"/>
    <w:rsid w:val="2F2523D2"/>
    <w:rsid w:val="2F426691"/>
    <w:rsid w:val="2FAA4C6D"/>
    <w:rsid w:val="2FB53C52"/>
    <w:rsid w:val="30D87224"/>
    <w:rsid w:val="31CC62E4"/>
    <w:rsid w:val="32AC2007"/>
    <w:rsid w:val="333614EA"/>
    <w:rsid w:val="33BA23C6"/>
    <w:rsid w:val="35876F61"/>
    <w:rsid w:val="35EF4D8B"/>
    <w:rsid w:val="365A3992"/>
    <w:rsid w:val="368C7772"/>
    <w:rsid w:val="36B714D1"/>
    <w:rsid w:val="36E43BC9"/>
    <w:rsid w:val="37D41698"/>
    <w:rsid w:val="37E345FE"/>
    <w:rsid w:val="38864811"/>
    <w:rsid w:val="39405CB6"/>
    <w:rsid w:val="3A072724"/>
    <w:rsid w:val="3A2C6C38"/>
    <w:rsid w:val="3B0E4F97"/>
    <w:rsid w:val="3D477963"/>
    <w:rsid w:val="3E3039B6"/>
    <w:rsid w:val="3E377C32"/>
    <w:rsid w:val="3E4E1792"/>
    <w:rsid w:val="3F15215A"/>
    <w:rsid w:val="3F944DFB"/>
    <w:rsid w:val="3F9B4974"/>
    <w:rsid w:val="4276252C"/>
    <w:rsid w:val="42942B8E"/>
    <w:rsid w:val="42B555FD"/>
    <w:rsid w:val="430D5031"/>
    <w:rsid w:val="43317379"/>
    <w:rsid w:val="447D5F14"/>
    <w:rsid w:val="451307D6"/>
    <w:rsid w:val="47F46C3A"/>
    <w:rsid w:val="4909374F"/>
    <w:rsid w:val="49936277"/>
    <w:rsid w:val="4CE8395A"/>
    <w:rsid w:val="4D0860A1"/>
    <w:rsid w:val="4D892F9E"/>
    <w:rsid w:val="4E013B18"/>
    <w:rsid w:val="518640A1"/>
    <w:rsid w:val="51C70210"/>
    <w:rsid w:val="51FA0043"/>
    <w:rsid w:val="52202440"/>
    <w:rsid w:val="52A21B04"/>
    <w:rsid w:val="53494CF0"/>
    <w:rsid w:val="535C16AB"/>
    <w:rsid w:val="53AF3345"/>
    <w:rsid w:val="546C61DD"/>
    <w:rsid w:val="55306D65"/>
    <w:rsid w:val="56B51DA6"/>
    <w:rsid w:val="5890190B"/>
    <w:rsid w:val="58BC2AD5"/>
    <w:rsid w:val="59F1410E"/>
    <w:rsid w:val="59FF5058"/>
    <w:rsid w:val="5D3C1B67"/>
    <w:rsid w:val="5F9B5626"/>
    <w:rsid w:val="618B2914"/>
    <w:rsid w:val="627D0467"/>
    <w:rsid w:val="631C2DE5"/>
    <w:rsid w:val="637004B5"/>
    <w:rsid w:val="647849E1"/>
    <w:rsid w:val="64C22585"/>
    <w:rsid w:val="65191B9A"/>
    <w:rsid w:val="65556AA0"/>
    <w:rsid w:val="66D959DC"/>
    <w:rsid w:val="672F50CE"/>
    <w:rsid w:val="68BA0277"/>
    <w:rsid w:val="690E1057"/>
    <w:rsid w:val="6A177D14"/>
    <w:rsid w:val="6B1C687D"/>
    <w:rsid w:val="6B6529EE"/>
    <w:rsid w:val="6CC1230A"/>
    <w:rsid w:val="6DE84C24"/>
    <w:rsid w:val="6E2450F0"/>
    <w:rsid w:val="6E42777B"/>
    <w:rsid w:val="70566926"/>
    <w:rsid w:val="70607BD3"/>
    <w:rsid w:val="70622C8B"/>
    <w:rsid w:val="70A83E98"/>
    <w:rsid w:val="70B53095"/>
    <w:rsid w:val="70B82D27"/>
    <w:rsid w:val="71B739F0"/>
    <w:rsid w:val="72572034"/>
    <w:rsid w:val="72794087"/>
    <w:rsid w:val="72DC3467"/>
    <w:rsid w:val="73E57FB4"/>
    <w:rsid w:val="74053355"/>
    <w:rsid w:val="74BF3A13"/>
    <w:rsid w:val="761779BE"/>
    <w:rsid w:val="78545623"/>
    <w:rsid w:val="78E70F05"/>
    <w:rsid w:val="79F11B83"/>
    <w:rsid w:val="7AE90DC8"/>
    <w:rsid w:val="7BEA2C48"/>
    <w:rsid w:val="7CDE18FB"/>
    <w:rsid w:val="7D68106B"/>
    <w:rsid w:val="7DE2573C"/>
    <w:rsid w:val="7DFE6DBC"/>
    <w:rsid w:val="7EB4241F"/>
    <w:rsid w:val="7F484AF6"/>
    <w:rsid w:val="AFC7BF28"/>
    <w:rsid w:val="D73E325A"/>
    <w:rsid w:val="DBF3B8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8">
    <w:name w:val="Hyperlink"/>
    <w:basedOn w:val="7"/>
    <w:qFormat/>
    <w:uiPriority w:val="0"/>
    <w:rPr>
      <w:color w:val="0000FF"/>
      <w:u w:val="single"/>
    </w:rPr>
  </w:style>
  <w:style w:type="character" w:styleId="9">
    <w:name w:val="annotation reference"/>
    <w:basedOn w:val="7"/>
    <w:semiHidden/>
    <w:unhideWhenUsed/>
    <w:qFormat/>
    <w:uiPriority w:val="99"/>
    <w:rPr>
      <w:sz w:val="21"/>
      <w:szCs w:val="21"/>
    </w:rPr>
  </w:style>
  <w:style w:type="paragraph" w:customStyle="1" w:styleId="10">
    <w:name w:val="List Paragraph"/>
    <w:basedOn w:val="1"/>
    <w:qFormat/>
    <w:uiPriority w:val="0"/>
    <w:pPr>
      <w:ind w:firstLine="420" w:firstLineChars="200"/>
    </w:pPr>
  </w:style>
  <w:style w:type="paragraph" w:customStyle="1" w:styleId="11">
    <w:name w:val="分隔行"/>
    <w:next w:val="1"/>
    <w:qFormat/>
    <w:uiPriority w:val="0"/>
    <w:pPr>
      <w:spacing w:line="360" w:lineRule="auto"/>
      <w:ind w:left="300" w:leftChars="100" w:hanging="200" w:hangingChars="200"/>
      <w:jc w:val="both"/>
    </w:pPr>
    <w:rPr>
      <w:rFonts w:ascii="Times New Roman" w:hAnsi="Times New Roman" w:eastAsia="宋体" w:cs="Times New Roman"/>
      <w:sz w:val="15"/>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10189</Words>
  <Characters>10594</Characters>
  <Lines>0</Lines>
  <Paragraphs>0</Paragraphs>
  <TotalTime>1</TotalTime>
  <ScaleCrop>false</ScaleCrop>
  <LinksUpToDate>false</LinksUpToDate>
  <CharactersWithSpaces>11268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2020-06-01T08:31:00Z</dcterms:created>
  <dc:creator>FIFA</dc:creator>
  <cp:lastModifiedBy>Miss</cp:lastModifiedBy>
  <cp:lastPrinted>2021-11-12T20:36:00Z</cp:lastPrinted>
  <dcterms:modified xsi:type="dcterms:W3CDTF">2025-08-25T07:10:48Z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8B432E9F0A83447BBFC5EDCC2AB79150_13</vt:lpwstr>
  </property>
  <property fmtid="{D5CDD505-2E9C-101B-9397-08002B2CF9AE}" pid="4" name="KSOTemplateDocerSaveRecord">
    <vt:lpwstr>eyJoZGlkIjoiMDUwNmRmYjNlMzdjYWEzM2I1ZmZiMmMzMjViNjU4YjkiLCJ1c2VySWQiOiIyOTEwNDg0ODYifQ==</vt:lpwstr>
  </property>
</Properties>
</file>