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616F2">
      <w:pPr>
        <w:spacing w:line="360" w:lineRule="auto"/>
        <w:jc w:val="center"/>
        <w:rPr>
          <w:rFonts w:hint="eastAsia" w:ascii="楷体" w:hAnsi="楷体" w:eastAsia="楷体" w:cs="楷体"/>
          <w:bCs/>
          <w:sz w:val="24"/>
          <w:lang w:val="en-US" w:eastAsia="zh-CN"/>
        </w:rPr>
      </w:pPr>
      <w:r>
        <w:rPr>
          <w:rFonts w:hint="eastAsia" w:ascii="楷体" w:hAnsi="楷体" w:eastAsia="楷体" w:cs="楷体"/>
          <w:bCs/>
          <w:sz w:val="24"/>
          <w:lang w:val="en-US" w:eastAsia="zh-CN"/>
        </w:rPr>
        <w:t xml:space="preserve">                                                 </w:t>
      </w:r>
      <w:r>
        <w:rPr>
          <w:rFonts w:hint="eastAsia" w:ascii="楷体" w:hAnsi="楷体" w:eastAsia="楷体" w:cs="楷体"/>
          <w:bCs/>
          <w:sz w:val="24"/>
        </w:rPr>
        <w:t>合同编号:</w:t>
      </w:r>
      <w:r>
        <w:rPr>
          <w:rFonts w:hint="eastAsia" w:ascii="楷体" w:hAnsi="楷体" w:eastAsia="楷体" w:cs="楷体"/>
          <w:bCs/>
          <w:sz w:val="24"/>
          <w:lang w:val="en-US" w:eastAsia="zh-CN"/>
        </w:rPr>
        <w:t>XJJY</w:t>
      </w:r>
      <w:r>
        <w:rPr>
          <w:rFonts w:hint="eastAsia" w:ascii="楷体" w:hAnsi="楷体" w:eastAsia="楷体" w:cs="楷体"/>
          <w:bCs/>
          <w:sz w:val="24"/>
        </w:rPr>
        <w:t>-20</w:t>
      </w:r>
      <w:r>
        <w:rPr>
          <w:rFonts w:hint="eastAsia" w:ascii="楷体" w:hAnsi="楷体" w:eastAsia="楷体" w:cs="楷体"/>
          <w:bCs/>
          <w:sz w:val="24"/>
          <w:lang w:val="en-US" w:eastAsia="zh-CN"/>
        </w:rPr>
        <w:t>25</w:t>
      </w:r>
      <w:r>
        <w:rPr>
          <w:rFonts w:hint="eastAsia" w:ascii="楷体" w:hAnsi="楷体" w:eastAsia="楷体" w:cs="楷体"/>
          <w:bCs/>
          <w:sz w:val="24"/>
        </w:rPr>
        <w:t>-</w:t>
      </w:r>
      <w:r>
        <w:rPr>
          <w:rFonts w:hint="eastAsia" w:ascii="楷体" w:hAnsi="楷体" w:eastAsia="楷体" w:cs="楷体"/>
          <w:bCs/>
          <w:sz w:val="24"/>
          <w:lang w:val="en-US" w:eastAsia="zh-CN"/>
        </w:rPr>
        <w:t>012</w:t>
      </w:r>
    </w:p>
    <w:p w14:paraId="4A30B0C1">
      <w:pPr>
        <w:spacing w:line="360" w:lineRule="auto"/>
        <w:jc w:val="center"/>
        <w:rPr>
          <w:rFonts w:hint="eastAsia" w:ascii="楷体" w:hAnsi="楷体" w:eastAsia="楷体" w:cs="楷体"/>
          <w:b/>
          <w:bCs/>
          <w:sz w:val="52"/>
          <w:szCs w:val="52"/>
        </w:rPr>
      </w:pPr>
    </w:p>
    <w:p w14:paraId="7154EBA7">
      <w:pPr>
        <w:spacing w:line="360" w:lineRule="auto"/>
        <w:jc w:val="center"/>
        <w:rPr>
          <w:rFonts w:hint="eastAsia" w:ascii="楷体" w:hAnsi="楷体" w:eastAsia="楷体" w:cs="楷体"/>
          <w:b/>
          <w:bCs/>
          <w:sz w:val="52"/>
          <w:szCs w:val="52"/>
        </w:rPr>
      </w:pPr>
      <w:r>
        <w:rPr>
          <w:rFonts w:hint="eastAsia" w:ascii="楷体" w:hAnsi="楷体" w:eastAsia="楷体" w:cs="楷体"/>
          <w:b/>
          <w:bCs/>
          <w:sz w:val="52"/>
          <w:szCs w:val="52"/>
          <w:lang w:eastAsia="zh-CN"/>
        </w:rPr>
        <w:t>安</w:t>
      </w:r>
      <w:r>
        <w:rPr>
          <w:rFonts w:hint="eastAsia" w:ascii="楷体" w:hAnsi="楷体" w:eastAsia="楷体" w:cs="楷体"/>
          <w:b/>
          <w:bCs/>
          <w:sz w:val="52"/>
          <w:szCs w:val="52"/>
          <w:lang w:val="en-US" w:eastAsia="zh-CN"/>
        </w:rPr>
        <w:t xml:space="preserve"> </w:t>
      </w:r>
      <w:r>
        <w:rPr>
          <w:rFonts w:hint="eastAsia" w:ascii="楷体" w:hAnsi="楷体" w:eastAsia="楷体" w:cs="楷体"/>
          <w:b/>
          <w:bCs/>
          <w:sz w:val="52"/>
          <w:szCs w:val="52"/>
          <w:lang w:eastAsia="zh-CN"/>
        </w:rPr>
        <w:t>全</w:t>
      </w:r>
      <w:r>
        <w:rPr>
          <w:rFonts w:hint="eastAsia" w:ascii="楷体" w:hAnsi="楷体" w:eastAsia="楷体" w:cs="楷体"/>
          <w:b/>
          <w:bCs/>
          <w:sz w:val="52"/>
          <w:szCs w:val="52"/>
          <w:lang w:val="en-US" w:eastAsia="zh-CN"/>
        </w:rPr>
        <w:t xml:space="preserve"> </w:t>
      </w:r>
      <w:r>
        <w:rPr>
          <w:rFonts w:hint="eastAsia" w:ascii="楷体" w:hAnsi="楷体" w:eastAsia="楷体" w:cs="楷体"/>
          <w:b/>
          <w:bCs/>
          <w:sz w:val="52"/>
          <w:szCs w:val="52"/>
        </w:rPr>
        <w:t>技 术 咨 询 服 务</w:t>
      </w:r>
    </w:p>
    <w:p w14:paraId="4E6C09F7">
      <w:pPr>
        <w:widowControl/>
        <w:spacing w:before="100" w:beforeAutospacing="1" w:after="100" w:afterAutospacing="1"/>
        <w:jc w:val="center"/>
        <w:rPr>
          <w:rFonts w:hint="eastAsia" w:ascii="楷体" w:hAnsi="楷体" w:eastAsia="楷体" w:cs="楷体"/>
          <w:kern w:val="0"/>
          <w:sz w:val="52"/>
          <w:szCs w:val="52"/>
        </w:rPr>
      </w:pPr>
      <w:r>
        <w:rPr>
          <w:rFonts w:hint="eastAsia" w:ascii="楷体" w:hAnsi="楷体" w:eastAsia="楷体" w:cs="楷体"/>
          <w:b/>
          <w:bCs/>
          <w:sz w:val="84"/>
          <w:szCs w:val="84"/>
        </w:rPr>
        <w:t>合  同  书</w:t>
      </w:r>
    </w:p>
    <w:p w14:paraId="14A12F4A">
      <w:pPr>
        <w:widowControl/>
        <w:spacing w:before="100" w:beforeAutospacing="1" w:after="100" w:afterAutospacing="1"/>
        <w:jc w:val="center"/>
        <w:rPr>
          <w:rFonts w:hint="eastAsia" w:ascii="楷体" w:hAnsi="楷体" w:eastAsia="楷体" w:cs="楷体"/>
          <w:kern w:val="0"/>
          <w:sz w:val="52"/>
          <w:szCs w:val="52"/>
        </w:rPr>
      </w:pPr>
    </w:p>
    <w:p w14:paraId="40B72899">
      <w:pPr>
        <w:widowControl/>
        <w:spacing w:before="100" w:beforeAutospacing="1" w:after="100" w:afterAutospacing="1"/>
        <w:jc w:val="center"/>
        <w:rPr>
          <w:rFonts w:hint="eastAsia" w:ascii="楷体" w:hAnsi="楷体" w:eastAsia="楷体" w:cs="楷体"/>
          <w:kern w:val="0"/>
          <w:sz w:val="52"/>
          <w:szCs w:val="52"/>
        </w:rPr>
      </w:pPr>
      <w:r>
        <w:rPr>
          <w:rFonts w:hint="eastAsia" w:ascii="楷体" w:hAnsi="楷体" w:eastAsia="楷体" w:cs="楷体"/>
        </w:rPr>
        <w:drawing>
          <wp:inline distT="0" distB="0" distL="114300" distR="114300">
            <wp:extent cx="1649095" cy="1511300"/>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1649095" cy="1511300"/>
                    </a:xfrm>
                    <a:prstGeom prst="rect">
                      <a:avLst/>
                    </a:prstGeom>
                    <a:noFill/>
                    <a:ln>
                      <a:noFill/>
                    </a:ln>
                  </pic:spPr>
                </pic:pic>
              </a:graphicData>
            </a:graphic>
          </wp:inline>
        </w:drawing>
      </w:r>
    </w:p>
    <w:p w14:paraId="14B4BBD9">
      <w:pPr>
        <w:widowControl/>
        <w:spacing w:before="100" w:beforeAutospacing="1" w:after="100" w:afterAutospacing="1"/>
        <w:ind w:firstLine="689" w:firstLineChars="257"/>
        <w:rPr>
          <w:rFonts w:hint="eastAsia" w:ascii="楷体" w:hAnsi="楷体" w:eastAsia="楷体" w:cs="楷体"/>
          <w:kern w:val="0"/>
          <w:sz w:val="28"/>
          <w:szCs w:val="28"/>
        </w:rPr>
      </w:pPr>
    </w:p>
    <w:p w14:paraId="50A051C5">
      <w:pPr>
        <w:widowControl/>
        <w:spacing w:before="100" w:beforeAutospacing="1" w:after="100" w:afterAutospacing="1"/>
        <w:ind w:firstLine="817" w:firstLineChars="265"/>
        <w:jc w:val="left"/>
        <w:rPr>
          <w:rFonts w:hint="eastAsia" w:ascii="楷体" w:hAnsi="楷体" w:eastAsia="楷体" w:cs="楷体"/>
          <w:b w:val="0"/>
          <w:bCs/>
          <w:kern w:val="0"/>
          <w:sz w:val="32"/>
          <w:szCs w:val="32"/>
          <w:u w:val="single"/>
        </w:rPr>
      </w:pPr>
      <w:r>
        <w:rPr>
          <w:rFonts w:hint="eastAsia" w:ascii="楷体" w:hAnsi="楷体" w:eastAsia="楷体" w:cs="楷体"/>
          <w:b w:val="0"/>
          <w:bCs/>
          <w:kern w:val="0"/>
          <w:sz w:val="32"/>
          <w:szCs w:val="32"/>
        </w:rPr>
        <w:t>项目名称：</w:t>
      </w:r>
      <w:r>
        <w:rPr>
          <w:rFonts w:hint="eastAsia" w:ascii="楷体" w:hAnsi="楷体" w:eastAsia="楷体" w:cs="楷体"/>
          <w:b w:val="0"/>
          <w:bCs/>
          <w:kern w:val="0"/>
          <w:sz w:val="32"/>
          <w:szCs w:val="32"/>
          <w:u w:val="single"/>
        </w:rPr>
        <w:t xml:space="preserve"> 安全生产标准化</w:t>
      </w:r>
      <w:r>
        <w:rPr>
          <w:rFonts w:hint="eastAsia" w:ascii="楷体" w:hAnsi="楷体" w:eastAsia="楷体" w:cs="楷体"/>
          <w:b w:val="0"/>
          <w:bCs/>
          <w:kern w:val="0"/>
          <w:sz w:val="32"/>
          <w:szCs w:val="32"/>
          <w:u w:val="single"/>
          <w:lang w:eastAsia="zh-CN"/>
        </w:rPr>
        <w:t>（三级）</w:t>
      </w:r>
      <w:r>
        <w:rPr>
          <w:rFonts w:hint="eastAsia" w:ascii="楷体" w:hAnsi="楷体" w:eastAsia="楷体" w:cs="楷体"/>
          <w:b w:val="0"/>
          <w:bCs/>
          <w:iCs/>
          <w:kern w:val="0"/>
          <w:sz w:val="32"/>
          <w:szCs w:val="32"/>
          <w:u w:val="single"/>
        </w:rPr>
        <w:t xml:space="preserve">    </w:t>
      </w:r>
      <w:r>
        <w:rPr>
          <w:rFonts w:hint="eastAsia" w:ascii="楷体" w:hAnsi="楷体" w:eastAsia="楷体" w:cs="楷体"/>
          <w:b w:val="0"/>
          <w:bCs/>
          <w:iCs/>
          <w:kern w:val="0"/>
          <w:sz w:val="32"/>
          <w:szCs w:val="32"/>
          <w:u w:val="single"/>
          <w:lang w:val="en-US" w:eastAsia="zh-CN"/>
        </w:rPr>
        <w:t xml:space="preserve">        </w:t>
      </w:r>
      <w:r>
        <w:rPr>
          <w:rFonts w:hint="eastAsia" w:ascii="楷体" w:hAnsi="楷体" w:eastAsia="楷体" w:cs="楷体"/>
          <w:b w:val="0"/>
          <w:bCs/>
          <w:iCs/>
          <w:kern w:val="0"/>
          <w:sz w:val="32"/>
          <w:szCs w:val="32"/>
          <w:u w:val="single"/>
        </w:rPr>
        <w:t xml:space="preserve">  </w:t>
      </w:r>
    </w:p>
    <w:p w14:paraId="34135325">
      <w:pPr>
        <w:widowControl/>
        <w:spacing w:before="100" w:beforeAutospacing="1" w:after="100" w:afterAutospacing="1"/>
        <w:ind w:firstLine="817" w:firstLineChars="265"/>
        <w:jc w:val="left"/>
        <w:rPr>
          <w:rFonts w:hint="eastAsia" w:ascii="楷体" w:hAnsi="楷体" w:eastAsia="楷体" w:cs="楷体"/>
          <w:b w:val="0"/>
          <w:bCs/>
          <w:kern w:val="0"/>
          <w:sz w:val="32"/>
          <w:szCs w:val="32"/>
          <w:u w:val="single"/>
          <w:lang w:val="en-US"/>
        </w:rPr>
      </w:pPr>
      <w:r>
        <w:rPr>
          <w:rFonts w:hint="eastAsia" w:ascii="楷体" w:hAnsi="楷体" w:eastAsia="楷体" w:cs="楷体"/>
          <w:b w:val="0"/>
          <w:bCs/>
          <w:kern w:val="0"/>
          <w:sz w:val="32"/>
          <w:szCs w:val="32"/>
        </w:rPr>
        <w:t>委托方(甲方)：</w:t>
      </w:r>
      <w:r>
        <w:rPr>
          <w:rFonts w:hint="eastAsia" w:ascii="楷体" w:hAnsi="楷体" w:eastAsia="楷体" w:cs="楷体"/>
          <w:b w:val="0"/>
          <w:bCs/>
          <w:iCs/>
          <w:kern w:val="0"/>
          <w:sz w:val="32"/>
          <w:szCs w:val="32"/>
          <w:u w:val="single"/>
          <w:lang w:val="en-US" w:eastAsia="zh-CN"/>
        </w:rPr>
        <w:t xml:space="preserve">新疆通力塔格拉克水电有限公司     </w:t>
      </w:r>
    </w:p>
    <w:p w14:paraId="5A47A229">
      <w:pPr>
        <w:widowControl/>
        <w:ind w:left="2571" w:leftChars="403" w:hanging="1774" w:hangingChars="576"/>
        <w:jc w:val="left"/>
        <w:rPr>
          <w:rFonts w:hint="eastAsia" w:ascii="楷体" w:hAnsi="楷体" w:eastAsia="楷体" w:cs="楷体"/>
          <w:b w:val="0"/>
          <w:bCs/>
          <w:kern w:val="0"/>
          <w:sz w:val="32"/>
          <w:szCs w:val="32"/>
          <w:u w:val="single"/>
        </w:rPr>
      </w:pPr>
      <w:r>
        <w:rPr>
          <w:rFonts w:hint="eastAsia" w:ascii="楷体" w:hAnsi="楷体" w:eastAsia="楷体" w:cs="楷体"/>
          <w:b w:val="0"/>
          <w:bCs/>
          <w:kern w:val="0"/>
          <w:sz w:val="32"/>
          <w:szCs w:val="32"/>
        </w:rPr>
        <w:t>受托方(乙方)：</w:t>
      </w:r>
      <w:r>
        <w:rPr>
          <w:rFonts w:hint="eastAsia" w:ascii="楷体" w:hAnsi="楷体" w:eastAsia="楷体" w:cs="楷体"/>
          <w:b w:val="0"/>
          <w:bCs/>
          <w:kern w:val="0"/>
          <w:sz w:val="32"/>
          <w:szCs w:val="32"/>
          <w:u w:val="single"/>
          <w:lang w:val="en-US" w:eastAsia="zh-CN"/>
        </w:rPr>
        <w:t>新疆锦佑安全技术有限公司</w:t>
      </w:r>
      <w:r>
        <w:rPr>
          <w:rFonts w:hint="eastAsia" w:ascii="楷体" w:hAnsi="楷体" w:eastAsia="楷体" w:cs="楷体"/>
          <w:b w:val="0"/>
          <w:bCs/>
          <w:kern w:val="0"/>
          <w:sz w:val="32"/>
          <w:szCs w:val="32"/>
          <w:u w:val="single"/>
        </w:rPr>
        <w:t xml:space="preserve">    </w:t>
      </w:r>
    </w:p>
    <w:p w14:paraId="27D1F26B">
      <w:pPr>
        <w:widowControl/>
        <w:spacing w:before="100" w:beforeAutospacing="1" w:after="100" w:afterAutospacing="1"/>
        <w:ind w:firstLine="957" w:firstLineChars="357"/>
        <w:rPr>
          <w:rFonts w:hint="eastAsia" w:ascii="楷体" w:hAnsi="楷体" w:eastAsia="楷体" w:cs="楷体"/>
          <w:kern w:val="0"/>
          <w:sz w:val="28"/>
          <w:szCs w:val="28"/>
        </w:rPr>
      </w:pPr>
      <w:r>
        <w:rPr>
          <w:rFonts w:hint="eastAsia" w:ascii="楷体" w:hAnsi="楷体" w:eastAsia="楷体" w:cs="楷体"/>
          <w:kern w:val="0"/>
          <w:sz w:val="28"/>
          <w:szCs w:val="28"/>
        </w:rPr>
        <w:t xml:space="preserve">    </w:t>
      </w:r>
    </w:p>
    <w:p w14:paraId="7E67D4AA">
      <w:pPr>
        <w:keepNext w:val="0"/>
        <w:keepLines w:val="0"/>
        <w:pageBreakBefore w:val="0"/>
        <w:kinsoku/>
        <w:wordWrap/>
        <w:overflowPunct/>
        <w:topLinePunct w:val="0"/>
        <w:autoSpaceDE/>
        <w:autoSpaceDN/>
        <w:bidi w:val="0"/>
        <w:spacing w:line="560" w:lineRule="exact"/>
        <w:textAlignment w:val="auto"/>
        <w:rPr>
          <w:rFonts w:hint="eastAsia" w:ascii="楷体" w:hAnsi="楷体" w:eastAsia="楷体" w:cs="楷体"/>
          <w:sz w:val="28"/>
          <w:szCs w:val="28"/>
        </w:rPr>
        <w:sectPr>
          <w:headerReference r:id="rId3" w:type="default"/>
          <w:pgSz w:w="11907" w:h="16840"/>
          <w:pgMar w:top="1440" w:right="1080" w:bottom="1440" w:left="1080" w:header="0" w:footer="0" w:gutter="0"/>
          <w:pgNumType w:fmt="decimal"/>
          <w:cols w:space="720" w:num="1"/>
          <w:docGrid w:type="linesAndChars" w:linePitch="312" w:charSpace="-2489"/>
        </w:sectPr>
      </w:pPr>
    </w:p>
    <w:p w14:paraId="5CB6BD90">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委托方（甲方）：</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 xml:space="preserve">新疆通力塔格拉克水电有限公司 </w:t>
      </w:r>
    </w:p>
    <w:p w14:paraId="7A62CDEB">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sz w:val="24"/>
          <w:szCs w:val="24"/>
          <w:lang w:val="en-US"/>
        </w:rPr>
      </w:pPr>
      <w:r>
        <w:rPr>
          <w:rFonts w:hint="eastAsia" w:ascii="楷体" w:hAnsi="楷体" w:eastAsia="楷体" w:cs="楷体"/>
          <w:sz w:val="24"/>
          <w:szCs w:val="24"/>
        </w:rPr>
        <w:t>通讯地址：</w:t>
      </w:r>
      <w:r>
        <w:rPr>
          <w:rFonts w:hint="eastAsia" w:ascii="楷体" w:hAnsi="楷体" w:eastAsia="楷体" w:cs="楷体"/>
          <w:sz w:val="24"/>
          <w:szCs w:val="24"/>
          <w:u w:val="single"/>
          <w:lang w:val="en-US" w:eastAsia="zh-CN"/>
        </w:rPr>
        <w:t xml:space="preserve"> 新疆阿克苏地区温宿县产业园区金龙路1号楼414室 </w:t>
      </w:r>
    </w:p>
    <w:p w14:paraId="07ECE9E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b/>
          <w:color w:val="000000"/>
          <w:sz w:val="24"/>
          <w:szCs w:val="24"/>
          <w:u w:val="single"/>
        </w:rPr>
      </w:pPr>
      <w:r>
        <w:rPr>
          <w:rFonts w:hint="eastAsia" w:ascii="楷体" w:hAnsi="楷体" w:eastAsia="楷体" w:cs="楷体"/>
          <w:sz w:val="24"/>
          <w:szCs w:val="24"/>
        </w:rPr>
        <w:t>受托方（乙方）：</w:t>
      </w:r>
      <w:r>
        <w:rPr>
          <w:rFonts w:hint="eastAsia" w:ascii="楷体" w:hAnsi="楷体" w:eastAsia="楷体" w:cs="楷体"/>
          <w:sz w:val="24"/>
          <w:szCs w:val="24"/>
          <w:u w:val="single"/>
          <w:lang w:val="en-US" w:eastAsia="zh-CN"/>
        </w:rPr>
        <w:t xml:space="preserve"> 新疆锦佑安全技术有限公司</w:t>
      </w:r>
      <w:r>
        <w:rPr>
          <w:rFonts w:hint="eastAsia" w:ascii="楷体" w:hAnsi="楷体" w:eastAsia="楷体" w:cs="楷体"/>
          <w:color w:val="000000"/>
          <w:sz w:val="24"/>
          <w:szCs w:val="24"/>
          <w:u w:val="single"/>
        </w:rPr>
        <w:t xml:space="preserve"> </w:t>
      </w:r>
    </w:p>
    <w:p w14:paraId="53658B62">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rPr>
      </w:pPr>
      <w:r>
        <w:rPr>
          <w:rFonts w:hint="eastAsia" w:ascii="楷体" w:hAnsi="楷体" w:eastAsia="楷体" w:cs="楷体"/>
          <w:sz w:val="24"/>
          <w:szCs w:val="24"/>
        </w:rPr>
        <w:t>通讯地址：</w:t>
      </w:r>
      <w:r>
        <w:rPr>
          <w:rFonts w:hint="eastAsia" w:ascii="楷体" w:hAnsi="楷体" w:eastAsia="楷体" w:cs="楷体"/>
          <w:kern w:val="0"/>
          <w:sz w:val="24"/>
          <w:szCs w:val="24"/>
          <w:u w:val="single"/>
          <w:lang w:val="en-US" w:eastAsia="zh-CN"/>
        </w:rPr>
        <w:t xml:space="preserve"> 新疆乌鲁木齐市米东区红光山路1237号2号楼10层H-0057号</w:t>
      </w:r>
    </w:p>
    <w:p w14:paraId="7DF770A9">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color w:val="000000"/>
          <w:sz w:val="24"/>
          <w:szCs w:val="24"/>
          <w:u w:val="single"/>
        </w:rPr>
      </w:pPr>
      <w:r>
        <w:rPr>
          <w:rFonts w:hint="eastAsia" w:ascii="楷体" w:hAnsi="楷体" w:eastAsia="楷体" w:cs="楷体"/>
          <w:color w:val="000000"/>
          <w:sz w:val="24"/>
          <w:szCs w:val="24"/>
        </w:rPr>
        <w:t>机构负责人：</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u w:val="single"/>
          <w:lang w:val="en-US" w:eastAsia="zh-CN"/>
        </w:rPr>
        <w:t>陈阳</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rPr>
        <w:t xml:space="preserve"> 电 话：</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u w:val="single"/>
          <w:lang w:val="en-US" w:eastAsia="zh-CN"/>
        </w:rPr>
        <w:t xml:space="preserve">132-0991-3513 </w:t>
      </w:r>
      <w:r>
        <w:rPr>
          <w:rFonts w:hint="eastAsia" w:ascii="楷体" w:hAnsi="楷体" w:eastAsia="楷体" w:cs="楷体"/>
          <w:color w:val="000000"/>
          <w:sz w:val="24"/>
          <w:szCs w:val="24"/>
          <w:u w:val="single"/>
        </w:rPr>
        <w:t xml:space="preserve"> </w:t>
      </w:r>
    </w:p>
    <w:p w14:paraId="649DFEEB">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 xml:space="preserve">鉴于甲方的 </w:t>
      </w:r>
      <w:r>
        <w:rPr>
          <w:rFonts w:hint="eastAsia" w:ascii="楷体" w:hAnsi="楷体" w:eastAsia="楷体" w:cs="楷体"/>
          <w:sz w:val="24"/>
          <w:szCs w:val="24"/>
          <w:u w:val="single"/>
          <w:lang w:val="en-US" w:eastAsia="zh-CN"/>
        </w:rPr>
        <w:t>新疆通力塔格拉克水电有限公司</w:t>
      </w:r>
      <w:r>
        <w:rPr>
          <w:rFonts w:hint="eastAsia" w:ascii="楷体" w:hAnsi="楷体" w:eastAsia="楷体" w:cs="楷体"/>
          <w:sz w:val="24"/>
          <w:szCs w:val="24"/>
          <w:u w:val="single"/>
        </w:rPr>
        <w:t xml:space="preserve"> </w:t>
      </w:r>
      <w:r>
        <w:rPr>
          <w:rFonts w:hint="eastAsia" w:ascii="楷体" w:hAnsi="楷体" w:eastAsia="楷体" w:cs="楷体"/>
          <w:sz w:val="24"/>
          <w:szCs w:val="24"/>
        </w:rPr>
        <w:t>项目需要进行</w:t>
      </w:r>
      <w:r>
        <w:rPr>
          <w:rFonts w:hint="eastAsia" w:ascii="楷体" w:hAnsi="楷体" w:eastAsia="楷体" w:cs="楷体"/>
          <w:sz w:val="24"/>
          <w:szCs w:val="24"/>
          <w:u w:val="single"/>
        </w:rPr>
        <w:t xml:space="preserve"> 安全生产标准化</w:t>
      </w:r>
      <w:r>
        <w:rPr>
          <w:rFonts w:hint="eastAsia" w:ascii="楷体" w:hAnsi="楷体" w:eastAsia="楷体" w:cs="楷体"/>
          <w:sz w:val="24"/>
          <w:szCs w:val="24"/>
          <w:u w:val="single"/>
          <w:lang w:val="en-US" w:eastAsia="zh-CN"/>
        </w:rPr>
        <w:t xml:space="preserve">体系创建 </w:t>
      </w:r>
      <w:r>
        <w:rPr>
          <w:rFonts w:hint="eastAsia" w:ascii="楷体" w:hAnsi="楷体" w:eastAsia="楷体" w:cs="楷体"/>
          <w:sz w:val="24"/>
          <w:szCs w:val="24"/>
          <w:u w:val="single"/>
        </w:rPr>
        <w:t xml:space="preserve">工作  </w:t>
      </w:r>
      <w:r>
        <w:rPr>
          <w:rFonts w:hint="eastAsia" w:ascii="楷体" w:hAnsi="楷体" w:eastAsia="楷体" w:cs="楷体"/>
          <w:sz w:val="24"/>
          <w:szCs w:val="24"/>
        </w:rPr>
        <w:t>；且乙方具备从事该项</w:t>
      </w:r>
      <w:r>
        <w:rPr>
          <w:rFonts w:hint="eastAsia" w:ascii="楷体" w:hAnsi="楷体" w:eastAsia="楷体" w:cs="楷体"/>
          <w:sz w:val="24"/>
          <w:szCs w:val="24"/>
          <w:lang w:val="en-US" w:eastAsia="zh-CN"/>
        </w:rPr>
        <w:t>咨询</w:t>
      </w:r>
      <w:r>
        <w:rPr>
          <w:rFonts w:hint="eastAsia" w:ascii="楷体" w:hAnsi="楷体" w:eastAsia="楷体" w:cs="楷体"/>
          <w:sz w:val="24"/>
          <w:szCs w:val="24"/>
        </w:rPr>
        <w:t>服务的相关条件，现甲方委托乙方为其上述项目提供相应的技术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服务，并签订如下委托合同。</w:t>
      </w:r>
    </w:p>
    <w:p w14:paraId="2C223EFE">
      <w:pPr>
        <w:keepNext w:val="0"/>
        <w:keepLines w:val="0"/>
        <w:pageBreakBefore w:val="0"/>
        <w:numPr>
          <w:ilvl w:val="0"/>
          <w:numId w:val="1"/>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服务内容</w:t>
      </w:r>
    </w:p>
    <w:p w14:paraId="6073472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default"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乙方根据水利厅安全生产标准化评审标准完成安全生产资料编制，通过温宿县水利局、阿克苏水利局和新疆水利厅评审，并达到三级标准化</w:t>
      </w:r>
      <w:r>
        <w:rPr>
          <w:rFonts w:hint="eastAsia" w:ascii="楷体" w:hAnsi="楷体" w:eastAsia="楷体" w:cs="楷体"/>
          <w:color w:val="000000"/>
          <w:sz w:val="24"/>
          <w:szCs w:val="24"/>
        </w:rPr>
        <w:t>。</w:t>
      </w:r>
      <w:r>
        <w:rPr>
          <w:rFonts w:hint="eastAsia" w:ascii="楷体" w:hAnsi="楷体" w:eastAsia="楷体" w:cs="楷体"/>
          <w:color w:val="000000"/>
          <w:sz w:val="24"/>
          <w:szCs w:val="24"/>
          <w:lang w:val="en-US" w:eastAsia="zh-CN"/>
        </w:rPr>
        <w:t>工作清单详见附件。</w:t>
      </w:r>
    </w:p>
    <w:p w14:paraId="7A1CCD38">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color w:val="000000"/>
          <w:sz w:val="24"/>
          <w:szCs w:val="24"/>
        </w:rPr>
      </w:pPr>
      <w:r>
        <w:rPr>
          <w:rFonts w:hint="eastAsia" w:ascii="楷体" w:hAnsi="楷体" w:eastAsia="楷体" w:cs="楷体"/>
          <w:b/>
          <w:bCs/>
          <w:color w:val="000000"/>
          <w:sz w:val="24"/>
          <w:szCs w:val="24"/>
        </w:rPr>
        <w:t>第二条</w:t>
      </w:r>
    </w:p>
    <w:p w14:paraId="77824598">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bCs/>
          <w:iCs/>
          <w:color w:val="000000"/>
          <w:sz w:val="24"/>
          <w:szCs w:val="24"/>
        </w:rPr>
      </w:pPr>
      <w:r>
        <w:rPr>
          <w:rFonts w:hint="eastAsia" w:ascii="楷体" w:hAnsi="楷体" w:eastAsia="楷体" w:cs="楷体"/>
          <w:bCs/>
          <w:iCs/>
          <w:color w:val="000000"/>
          <w:sz w:val="24"/>
          <w:szCs w:val="24"/>
        </w:rPr>
        <w:t>1、乙方依据相关法律法规标准要求为甲方</w:t>
      </w:r>
      <w:r>
        <w:rPr>
          <w:rFonts w:hint="eastAsia" w:ascii="楷体" w:hAnsi="楷体" w:eastAsia="楷体" w:cs="楷体"/>
          <w:bCs/>
          <w:iCs/>
          <w:color w:val="000000"/>
          <w:sz w:val="24"/>
          <w:szCs w:val="24"/>
          <w:lang w:val="en-US" w:eastAsia="zh-CN"/>
        </w:rPr>
        <w:t>提供</w:t>
      </w:r>
      <w:r>
        <w:rPr>
          <w:rFonts w:hint="eastAsia" w:ascii="楷体" w:hAnsi="楷体" w:eastAsia="楷体" w:cs="楷体"/>
          <w:bCs/>
          <w:iCs/>
          <w:color w:val="000000"/>
          <w:sz w:val="24"/>
          <w:szCs w:val="24"/>
        </w:rPr>
        <w:t>安全技术咨询，协助指导甲方完成符合国家有关法律法规要求的</w:t>
      </w:r>
      <w:r>
        <w:rPr>
          <w:rFonts w:hint="eastAsia" w:ascii="楷体" w:hAnsi="楷体" w:eastAsia="楷体" w:cs="楷体"/>
          <w:bCs/>
          <w:iCs/>
          <w:color w:val="000000"/>
          <w:sz w:val="24"/>
          <w:szCs w:val="24"/>
          <w:lang w:val="en-US" w:eastAsia="zh-CN"/>
        </w:rPr>
        <w:t>体系文件资料</w:t>
      </w:r>
      <w:r>
        <w:rPr>
          <w:rFonts w:hint="eastAsia" w:ascii="楷体" w:hAnsi="楷体" w:eastAsia="楷体" w:cs="楷体"/>
          <w:bCs/>
          <w:iCs/>
          <w:color w:val="000000"/>
          <w:sz w:val="24"/>
          <w:szCs w:val="24"/>
        </w:rPr>
        <w:t>；</w:t>
      </w:r>
    </w:p>
    <w:p w14:paraId="04C69031">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rPr>
      </w:pPr>
      <w:r>
        <w:rPr>
          <w:rFonts w:hint="eastAsia" w:ascii="楷体" w:hAnsi="楷体" w:eastAsia="楷体" w:cs="楷体"/>
          <w:color w:val="000000"/>
          <w:sz w:val="24"/>
          <w:szCs w:val="24"/>
        </w:rPr>
        <w:t>2、乙方协助甲方组织开展并完成该项目的</w:t>
      </w:r>
      <w:r>
        <w:rPr>
          <w:rFonts w:hint="eastAsia" w:ascii="楷体" w:hAnsi="楷体" w:eastAsia="楷体" w:cs="楷体"/>
          <w:color w:val="000000"/>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color w:val="000000"/>
          <w:sz w:val="24"/>
          <w:szCs w:val="24"/>
        </w:rPr>
        <w:t>。</w:t>
      </w:r>
    </w:p>
    <w:p w14:paraId="5188782D">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
          <w:bCs/>
          <w:color w:val="000000"/>
          <w:sz w:val="24"/>
          <w:szCs w:val="24"/>
        </w:rPr>
      </w:pPr>
      <w:r>
        <w:rPr>
          <w:rFonts w:hint="eastAsia" w:ascii="楷体" w:hAnsi="楷体" w:eastAsia="楷体" w:cs="楷体"/>
          <w:b/>
          <w:bCs/>
          <w:color w:val="000000"/>
          <w:sz w:val="24"/>
          <w:szCs w:val="24"/>
        </w:rPr>
        <w:t xml:space="preserve">第三条 </w:t>
      </w:r>
      <w:r>
        <w:rPr>
          <w:rFonts w:hint="eastAsia" w:ascii="楷体" w:hAnsi="楷体" w:eastAsia="楷体" w:cs="楷体"/>
          <w:color w:val="000000"/>
          <w:sz w:val="24"/>
          <w:szCs w:val="24"/>
        </w:rPr>
        <w:t>乙方在甲方按合同约定支付款项后委派技术人员前往甲方开展工作。</w:t>
      </w:r>
    </w:p>
    <w:p w14:paraId="24FF755E">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Cs/>
          <w:sz w:val="24"/>
          <w:szCs w:val="24"/>
        </w:rPr>
      </w:pPr>
      <w:r>
        <w:rPr>
          <w:rFonts w:hint="eastAsia" w:ascii="楷体" w:hAnsi="楷体" w:eastAsia="楷体" w:cs="楷体"/>
          <w:b/>
          <w:bCs/>
          <w:sz w:val="24"/>
          <w:szCs w:val="24"/>
        </w:rPr>
        <w:t>第四条</w:t>
      </w:r>
      <w:r>
        <w:rPr>
          <w:rFonts w:hint="eastAsia" w:ascii="楷体" w:hAnsi="楷体" w:eastAsia="楷体" w:cs="楷体"/>
          <w:sz w:val="24"/>
          <w:szCs w:val="24"/>
        </w:rPr>
        <w:t xml:space="preserve"> 甲方责任与义务</w:t>
      </w:r>
    </w:p>
    <w:p w14:paraId="101DB5A1">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1、甲方在签订本合同后，按乙方要求准备开展</w:t>
      </w:r>
      <w:r>
        <w:rPr>
          <w:rFonts w:hint="eastAsia" w:ascii="楷体" w:hAnsi="楷体" w:eastAsia="楷体" w:cs="楷体"/>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sz w:val="24"/>
          <w:szCs w:val="24"/>
        </w:rPr>
        <w:t>所需的资料，并对其准备的资料真实性负责。甲方应为乙方进行开展工作提供方便（包括现场检查和查阅资料等），保证工作顺利进行。</w:t>
      </w:r>
    </w:p>
    <w:p w14:paraId="1DD415F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、甲方指定</w:t>
      </w:r>
      <w:r>
        <w:rPr>
          <w:rFonts w:hint="eastAsia" w:ascii="楷体" w:hAnsi="楷体" w:eastAsia="楷体" w:cs="楷体"/>
          <w:sz w:val="24"/>
          <w:szCs w:val="24"/>
          <w:u w:val="none"/>
          <w:lang w:eastAsia="zh-CN"/>
        </w:rPr>
        <w:t>专人</w:t>
      </w:r>
      <w:r>
        <w:rPr>
          <w:rFonts w:hint="eastAsia" w:ascii="楷体" w:hAnsi="楷体" w:eastAsia="楷体" w:cs="楷体"/>
          <w:sz w:val="24"/>
          <w:szCs w:val="24"/>
        </w:rPr>
        <w:t>为本项目甲方工作负责人。</w:t>
      </w:r>
    </w:p>
    <w:p w14:paraId="189D2BDB">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3</w:t>
      </w:r>
      <w:r>
        <w:rPr>
          <w:rFonts w:hint="eastAsia" w:ascii="楷体" w:hAnsi="楷体" w:eastAsia="楷体" w:cs="楷体"/>
          <w:sz w:val="24"/>
          <w:szCs w:val="24"/>
        </w:rPr>
        <w:t>、甲方不得将乙方的报价及相关情况以任何方式泄漏给第三方。</w:t>
      </w:r>
    </w:p>
    <w:p w14:paraId="200C04FA">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u w:val="single"/>
        </w:rPr>
      </w:pPr>
      <w:r>
        <w:rPr>
          <w:rFonts w:hint="eastAsia" w:ascii="楷体" w:hAnsi="楷体" w:eastAsia="楷体" w:cs="楷体"/>
          <w:sz w:val="24"/>
          <w:szCs w:val="24"/>
          <w:lang w:val="en-US" w:eastAsia="zh-CN"/>
        </w:rPr>
        <w:t>4</w:t>
      </w:r>
      <w:r>
        <w:rPr>
          <w:rFonts w:hint="eastAsia" w:ascii="楷体" w:hAnsi="楷体" w:eastAsia="楷体" w:cs="楷体"/>
          <w:sz w:val="24"/>
          <w:szCs w:val="24"/>
        </w:rPr>
        <w:t>、甲方必须按照合同约定按时支付咨询服务费用。</w:t>
      </w:r>
    </w:p>
    <w:p w14:paraId="5124026C">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5</w:t>
      </w:r>
      <w:r>
        <w:rPr>
          <w:rFonts w:hint="eastAsia" w:ascii="楷体" w:hAnsi="楷体" w:eastAsia="楷体" w:cs="楷体"/>
          <w:sz w:val="24"/>
          <w:szCs w:val="24"/>
        </w:rPr>
        <w:t>、甲方应明确下列职责：</w:t>
      </w:r>
    </w:p>
    <w:p w14:paraId="688C54D0">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firstLine="510"/>
        <w:jc w:val="left"/>
        <w:textAlignment w:val="auto"/>
        <w:rPr>
          <w:rFonts w:hint="eastAsia" w:ascii="楷体" w:hAnsi="楷体" w:eastAsia="楷体" w:cs="楷体"/>
          <w:kern w:val="0"/>
          <w:sz w:val="24"/>
          <w:szCs w:val="24"/>
        </w:rPr>
      </w:pPr>
      <w:r>
        <w:rPr>
          <w:rFonts w:hint="eastAsia" w:ascii="楷体" w:hAnsi="楷体" w:eastAsia="楷体" w:cs="楷体"/>
          <w:bCs/>
          <w:iCs/>
          <w:color w:val="000000"/>
          <w:kern w:val="0"/>
          <w:sz w:val="24"/>
          <w:szCs w:val="24"/>
        </w:rPr>
        <w:fldChar w:fldCharType="begin"/>
      </w:r>
      <w:r>
        <w:rPr>
          <w:rFonts w:hint="eastAsia" w:ascii="楷体" w:hAnsi="楷体" w:eastAsia="楷体" w:cs="楷体"/>
          <w:bCs/>
          <w:iCs/>
          <w:color w:val="000000"/>
          <w:kern w:val="0"/>
          <w:sz w:val="24"/>
          <w:szCs w:val="24"/>
        </w:rPr>
        <w:instrText xml:space="preserve"> = 1 \* GB3 </w:instrText>
      </w:r>
      <w:r>
        <w:rPr>
          <w:rFonts w:hint="eastAsia" w:ascii="楷体" w:hAnsi="楷体" w:eastAsia="楷体" w:cs="楷体"/>
          <w:bCs/>
          <w:iCs/>
          <w:color w:val="000000"/>
          <w:kern w:val="0"/>
          <w:sz w:val="24"/>
          <w:szCs w:val="24"/>
        </w:rPr>
        <w:fldChar w:fldCharType="separate"/>
      </w:r>
      <w:r>
        <w:rPr>
          <w:rFonts w:hint="eastAsia" w:ascii="楷体" w:hAnsi="楷体" w:eastAsia="楷体" w:cs="楷体"/>
          <w:bCs/>
          <w:iCs/>
          <w:color w:val="000000"/>
          <w:kern w:val="0"/>
          <w:sz w:val="24"/>
          <w:szCs w:val="24"/>
        </w:rPr>
        <w:t>①</w:t>
      </w:r>
      <w:r>
        <w:rPr>
          <w:rFonts w:hint="eastAsia" w:ascii="楷体" w:hAnsi="楷体" w:eastAsia="楷体" w:cs="楷体"/>
          <w:bCs/>
          <w:iCs/>
          <w:color w:val="000000"/>
          <w:kern w:val="0"/>
          <w:sz w:val="24"/>
          <w:szCs w:val="24"/>
        </w:rPr>
        <w:fldChar w:fldCharType="end"/>
      </w:r>
      <w:r>
        <w:rPr>
          <w:rFonts w:hint="eastAsia" w:ascii="楷体" w:hAnsi="楷体" w:eastAsia="楷体" w:cs="楷体"/>
          <w:bCs/>
          <w:iCs/>
          <w:color w:val="000000"/>
          <w:kern w:val="0"/>
          <w:sz w:val="24"/>
          <w:szCs w:val="24"/>
        </w:rPr>
        <w:t xml:space="preserve"> </w:t>
      </w:r>
      <w:r>
        <w:rPr>
          <w:rFonts w:hint="eastAsia" w:ascii="楷体" w:hAnsi="楷体" w:eastAsia="楷体" w:cs="楷体"/>
          <w:color w:val="000000"/>
          <w:kern w:val="0"/>
          <w:sz w:val="24"/>
          <w:szCs w:val="24"/>
        </w:rPr>
        <w:t>安排自</w:t>
      </w:r>
      <w:r>
        <w:rPr>
          <w:rFonts w:hint="eastAsia" w:ascii="楷体" w:hAnsi="楷体" w:eastAsia="楷体" w:cs="楷体"/>
          <w:kern w:val="0"/>
          <w:sz w:val="24"/>
          <w:szCs w:val="24"/>
        </w:rPr>
        <w:t>评工作小组或专人负责跟进和推行</w:t>
      </w:r>
      <w:r>
        <w:rPr>
          <w:rFonts w:hint="eastAsia" w:ascii="楷体" w:hAnsi="楷体" w:eastAsia="楷体" w:cs="楷体"/>
          <w:kern w:val="0"/>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kern w:val="0"/>
          <w:sz w:val="24"/>
          <w:szCs w:val="24"/>
          <w:u w:val="single"/>
        </w:rPr>
        <w:t xml:space="preserve"> </w:t>
      </w:r>
      <w:r>
        <w:rPr>
          <w:rFonts w:hint="eastAsia" w:ascii="楷体" w:hAnsi="楷体" w:eastAsia="楷体" w:cs="楷体"/>
          <w:kern w:val="0"/>
          <w:sz w:val="24"/>
          <w:szCs w:val="24"/>
        </w:rPr>
        <w:t>；</w:t>
      </w:r>
    </w:p>
    <w:p w14:paraId="75079473">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2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②</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履行安全生产职责，遵守有关安全生产法律法规要求；</w:t>
      </w:r>
    </w:p>
    <w:p w14:paraId="633AAD78">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根据乙方提出的要求，及时回复及整改；</w:t>
      </w:r>
    </w:p>
    <w:p w14:paraId="0C341C80">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4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④</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为乙方提供必要的工作条件；</w:t>
      </w:r>
    </w:p>
    <w:p w14:paraId="42FAD4DA">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5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⑤</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按照乙方提出的培训计划组织相关人员进行安全生产标准化培训；</w:t>
      </w:r>
    </w:p>
    <w:p w14:paraId="761A3FA6">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Cs/>
          <w:sz w:val="24"/>
          <w:szCs w:val="24"/>
        </w:rPr>
      </w:pPr>
      <w:r>
        <w:rPr>
          <w:rFonts w:hint="eastAsia" w:ascii="楷体" w:hAnsi="楷体" w:eastAsia="楷体" w:cs="楷体"/>
          <w:b/>
          <w:bCs/>
          <w:sz w:val="24"/>
          <w:szCs w:val="24"/>
        </w:rPr>
        <w:t>第五条</w:t>
      </w:r>
      <w:r>
        <w:rPr>
          <w:rFonts w:hint="eastAsia" w:ascii="楷体" w:hAnsi="楷体" w:eastAsia="楷体" w:cs="楷体"/>
          <w:sz w:val="24"/>
          <w:szCs w:val="24"/>
        </w:rPr>
        <w:t xml:space="preserve"> 乙方责任与义务</w:t>
      </w:r>
    </w:p>
    <w:p w14:paraId="490749BE">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1、乙方根据</w:t>
      </w:r>
      <w:r>
        <w:rPr>
          <w:rFonts w:hint="eastAsia" w:ascii="楷体" w:hAnsi="楷体" w:eastAsia="楷体" w:cs="楷体"/>
          <w:color w:val="000000"/>
          <w:sz w:val="24"/>
          <w:szCs w:val="24"/>
        </w:rPr>
        <w:t>国家、</w:t>
      </w:r>
      <w:r>
        <w:rPr>
          <w:rFonts w:hint="eastAsia" w:ascii="楷体" w:hAnsi="楷体" w:eastAsia="楷体" w:cs="楷体"/>
          <w:sz w:val="24"/>
          <w:szCs w:val="24"/>
        </w:rPr>
        <w:t>地方及相关行业的法律法规、标准和相关要求，客观地对甲方委托的项目进行</w:t>
      </w:r>
      <w:r>
        <w:rPr>
          <w:rFonts w:hint="eastAsia" w:ascii="楷体" w:hAnsi="楷体" w:eastAsia="楷体" w:cs="楷体"/>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bCs/>
          <w:iCs/>
          <w:sz w:val="24"/>
          <w:szCs w:val="24"/>
          <w:u w:val="single"/>
        </w:rPr>
        <w:t xml:space="preserve"> </w:t>
      </w:r>
      <w:r>
        <w:rPr>
          <w:rFonts w:hint="eastAsia" w:ascii="楷体" w:hAnsi="楷体" w:eastAsia="楷体" w:cs="楷体"/>
          <w:sz w:val="24"/>
          <w:szCs w:val="24"/>
        </w:rPr>
        <w:t>咨询工作。</w:t>
      </w:r>
    </w:p>
    <w:p w14:paraId="6B4E19D8">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2、乙方应明确下列职责：</w:t>
      </w:r>
    </w:p>
    <w:p w14:paraId="003A3049">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1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①</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指派专人进行安全技术咨询工作</w:t>
      </w:r>
      <w:r>
        <w:rPr>
          <w:rFonts w:hint="eastAsia" w:ascii="楷体" w:hAnsi="楷体" w:eastAsia="楷体" w:cs="楷体"/>
          <w:kern w:val="0"/>
          <w:sz w:val="24"/>
          <w:szCs w:val="24"/>
        </w:rPr>
        <w:t>；</w:t>
      </w:r>
    </w:p>
    <w:p w14:paraId="491F074B">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2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②</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指导甲方制定所需要的制度、记录和档案等；</w:t>
      </w:r>
    </w:p>
    <w:p w14:paraId="159F6123">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根据甲方生产工艺和设备特点，进行</w:t>
      </w:r>
      <w:r>
        <w:rPr>
          <w:rFonts w:hint="eastAsia" w:ascii="楷体" w:hAnsi="楷体" w:eastAsia="楷体" w:cs="楷体"/>
          <w:kern w:val="0"/>
          <w:sz w:val="24"/>
          <w:szCs w:val="24"/>
          <w:lang w:eastAsia="zh-CN"/>
        </w:rPr>
        <w:t>体系建立</w:t>
      </w:r>
      <w:r>
        <w:rPr>
          <w:rFonts w:hint="eastAsia" w:ascii="楷体" w:hAnsi="楷体" w:eastAsia="楷体" w:cs="楷体"/>
          <w:kern w:val="0"/>
          <w:sz w:val="24"/>
          <w:szCs w:val="24"/>
        </w:rPr>
        <w:t>；</w:t>
      </w:r>
    </w:p>
    <w:p w14:paraId="4D15C573">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4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④</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指导甲方如何运用体系文件</w:t>
      </w:r>
      <w:r>
        <w:rPr>
          <w:rFonts w:hint="eastAsia" w:ascii="楷体" w:hAnsi="楷体" w:eastAsia="楷体" w:cs="楷体"/>
          <w:kern w:val="0"/>
          <w:sz w:val="24"/>
          <w:szCs w:val="24"/>
        </w:rPr>
        <w:t>；</w:t>
      </w:r>
    </w:p>
    <w:p w14:paraId="1F33C152">
      <w:pPr>
        <w:keepNext w:val="0"/>
        <w:keepLines w:val="0"/>
        <w:pageBreakBefore w:val="0"/>
        <w:widowControl/>
        <w:tabs>
          <w:tab w:val="left" w:pos="0"/>
        </w:tabs>
        <w:kinsoku/>
        <w:wordWrap/>
        <w:overflowPunct/>
        <w:topLinePunct w:val="0"/>
        <w:autoSpaceDE/>
        <w:autoSpaceDN/>
        <w:bidi w:val="0"/>
        <w:adjustRightInd w:val="0"/>
        <w:snapToGrid w:val="0"/>
        <w:spacing w:line="600" w:lineRule="exact"/>
        <w:ind w:firstLine="510"/>
        <w:jc w:val="left"/>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5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⑤</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项目验收完成后协助甲方进行整改报告编制。</w:t>
      </w:r>
    </w:p>
    <w:p w14:paraId="60FE9929">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3、乙方不得将甲方经营、生产状况及有关技术资料等以任何方式泄漏给第三方。</w:t>
      </w:r>
    </w:p>
    <w:p w14:paraId="64CC7D52">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4、乙方根据</w:t>
      </w:r>
      <w:r>
        <w:rPr>
          <w:rFonts w:hint="eastAsia" w:ascii="楷体" w:hAnsi="楷体" w:eastAsia="楷体" w:cs="楷体"/>
          <w:color w:val="000000"/>
          <w:sz w:val="24"/>
          <w:szCs w:val="24"/>
        </w:rPr>
        <w:t>国家、</w:t>
      </w:r>
      <w:r>
        <w:rPr>
          <w:rFonts w:hint="eastAsia" w:ascii="楷体" w:hAnsi="楷体" w:eastAsia="楷体" w:cs="楷体"/>
          <w:sz w:val="24"/>
          <w:szCs w:val="24"/>
        </w:rPr>
        <w:t>地方及相关行业的法律法规和标准，客观地对甲方委托的项目进行技术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服务，并在甲方提供齐全技术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服务资料且整改达到要求，验收合格后</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20</w:t>
      </w:r>
      <w:r>
        <w:rPr>
          <w:rFonts w:hint="eastAsia" w:ascii="楷体" w:hAnsi="楷体" w:eastAsia="楷体" w:cs="楷体"/>
          <w:sz w:val="24"/>
          <w:szCs w:val="24"/>
          <w:u w:val="single"/>
        </w:rPr>
        <w:t xml:space="preserve">  </w:t>
      </w:r>
      <w:r>
        <w:rPr>
          <w:rFonts w:hint="eastAsia" w:ascii="楷体" w:hAnsi="楷体" w:eastAsia="楷体" w:cs="楷体"/>
          <w:sz w:val="24"/>
          <w:szCs w:val="24"/>
        </w:rPr>
        <w:t>个工作日内协助甲方出具整改报告。</w:t>
      </w:r>
    </w:p>
    <w:p w14:paraId="5687911F">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5、乙方应在本合同生效后</w:t>
      </w:r>
      <w:r>
        <w:rPr>
          <w:rFonts w:hint="eastAsia" w:ascii="楷体" w:hAnsi="楷体" w:eastAsia="楷体" w:cs="楷体"/>
          <w:sz w:val="24"/>
          <w:szCs w:val="24"/>
          <w:u w:val="single"/>
        </w:rPr>
        <w:t>90</w:t>
      </w:r>
      <w:r>
        <w:rPr>
          <w:rFonts w:hint="eastAsia" w:ascii="楷体" w:hAnsi="楷体" w:eastAsia="楷体" w:cs="楷体"/>
          <w:sz w:val="24"/>
          <w:szCs w:val="24"/>
        </w:rPr>
        <w:t>个工作日内，完成本合同约定的</w:t>
      </w:r>
      <w:r>
        <w:rPr>
          <w:rFonts w:hint="eastAsia" w:ascii="楷体" w:hAnsi="楷体" w:eastAsia="楷体" w:cs="楷体"/>
          <w:sz w:val="24"/>
          <w:szCs w:val="24"/>
          <w:lang w:val="en-US" w:eastAsia="zh-CN"/>
        </w:rPr>
        <w:t>安全技术咨询工作</w:t>
      </w:r>
      <w:r>
        <w:rPr>
          <w:rFonts w:hint="eastAsia" w:ascii="楷体" w:hAnsi="楷体" w:eastAsia="楷体" w:cs="楷体"/>
          <w:sz w:val="24"/>
          <w:szCs w:val="24"/>
        </w:rPr>
        <w:t>并上报主管部门准备考评</w:t>
      </w:r>
      <w:r>
        <w:rPr>
          <w:rFonts w:hint="eastAsia" w:ascii="楷体" w:hAnsi="楷体" w:eastAsia="楷体" w:cs="楷体"/>
          <w:sz w:val="24"/>
          <w:szCs w:val="24"/>
          <w:lang w:eastAsia="zh-CN"/>
        </w:rPr>
        <w:t>，如遇主管部门政策变化则时间顺延</w:t>
      </w:r>
      <w:r>
        <w:rPr>
          <w:rFonts w:hint="eastAsia" w:ascii="楷体" w:hAnsi="楷体" w:eastAsia="楷体" w:cs="楷体"/>
          <w:sz w:val="24"/>
          <w:szCs w:val="24"/>
        </w:rPr>
        <w:t>。</w:t>
      </w:r>
    </w:p>
    <w:p w14:paraId="44DA140E">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6、若乙方两年内未通过新疆维吾尔自治区水利厅评审，乙方应退还甲方支付的费用。</w:t>
      </w:r>
    </w:p>
    <w:p w14:paraId="63CDF6D0">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sz w:val="24"/>
          <w:szCs w:val="24"/>
        </w:rPr>
      </w:pPr>
      <w:r>
        <w:rPr>
          <w:rFonts w:hint="eastAsia" w:ascii="楷体" w:hAnsi="楷体" w:eastAsia="楷体" w:cs="楷体"/>
          <w:b/>
          <w:bCs/>
          <w:sz w:val="24"/>
          <w:szCs w:val="24"/>
        </w:rPr>
        <w:t>第六条</w:t>
      </w:r>
      <w:r>
        <w:rPr>
          <w:rFonts w:hint="eastAsia" w:ascii="楷体" w:hAnsi="楷体" w:eastAsia="楷体" w:cs="楷体"/>
          <w:sz w:val="24"/>
          <w:szCs w:val="24"/>
        </w:rPr>
        <w:t xml:space="preserve">  </w:t>
      </w:r>
      <w:r>
        <w:rPr>
          <w:rFonts w:hint="eastAsia" w:ascii="楷体" w:hAnsi="楷体" w:eastAsia="楷体" w:cs="楷体"/>
          <w:sz w:val="24"/>
          <w:szCs w:val="24"/>
          <w:lang w:val="en-US" w:eastAsia="zh-CN"/>
        </w:rPr>
        <w:t>技术咨询</w:t>
      </w:r>
      <w:r>
        <w:rPr>
          <w:rFonts w:hint="eastAsia" w:ascii="楷体" w:hAnsi="楷体" w:eastAsia="楷体" w:cs="楷体"/>
          <w:sz w:val="24"/>
          <w:szCs w:val="24"/>
        </w:rPr>
        <w:t>服务费用和支付方式：</w:t>
      </w:r>
    </w:p>
    <w:p w14:paraId="3423BD79">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1、甲方此次委托乙方进行</w:t>
      </w:r>
      <w:r>
        <w:rPr>
          <w:rFonts w:hint="eastAsia" w:ascii="楷体" w:hAnsi="楷体" w:eastAsia="楷体" w:cs="楷体"/>
          <w:sz w:val="24"/>
          <w:szCs w:val="24"/>
          <w:lang w:val="en-US" w:eastAsia="zh-CN"/>
        </w:rPr>
        <w:t>技术咨询</w:t>
      </w:r>
      <w:r>
        <w:rPr>
          <w:rFonts w:hint="eastAsia" w:ascii="楷体" w:hAnsi="楷体" w:eastAsia="楷体" w:cs="楷体"/>
          <w:sz w:val="24"/>
          <w:szCs w:val="24"/>
        </w:rPr>
        <w:t>服务的费用为</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120000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拾贰万元整</w:t>
      </w:r>
      <w:r>
        <w:rPr>
          <w:rFonts w:hint="eastAsia" w:ascii="楷体" w:hAnsi="楷体" w:eastAsia="楷体" w:cs="楷体"/>
          <w:sz w:val="24"/>
          <w:szCs w:val="24"/>
          <w:u w:val="single"/>
        </w:rPr>
        <w:t xml:space="preserve"> </w:t>
      </w:r>
      <w:r>
        <w:rPr>
          <w:rFonts w:hint="eastAsia" w:ascii="楷体" w:hAnsi="楷体" w:eastAsia="楷体" w:cs="楷体"/>
          <w:sz w:val="24"/>
          <w:szCs w:val="24"/>
        </w:rPr>
        <w:t>）。</w:t>
      </w:r>
    </w:p>
    <w:p w14:paraId="47737777">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1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①</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eastAsia="zh-CN"/>
        </w:rPr>
        <w:t>包含安全生产标准化评审专家费</w:t>
      </w:r>
      <w:r>
        <w:rPr>
          <w:rFonts w:hint="eastAsia" w:ascii="楷体" w:hAnsi="楷体" w:eastAsia="楷体" w:cs="楷体"/>
          <w:kern w:val="0"/>
          <w:sz w:val="24"/>
          <w:szCs w:val="24"/>
          <w:lang w:val="en-US" w:eastAsia="zh-CN"/>
        </w:rPr>
        <w:t>和接待费</w:t>
      </w:r>
      <w:r>
        <w:rPr>
          <w:rFonts w:hint="eastAsia" w:ascii="楷体" w:hAnsi="楷体" w:eastAsia="楷体" w:cs="楷体"/>
          <w:kern w:val="0"/>
          <w:sz w:val="24"/>
          <w:szCs w:val="24"/>
        </w:rPr>
        <w:t>；</w:t>
      </w:r>
    </w:p>
    <w:p w14:paraId="5393398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lang w:val="en-US" w:eastAsia="zh-CN"/>
        </w:rPr>
        <w:t xml:space="preserve"> 按企业要求提供电子普通发票，发票按照甲方实际付款额依次开具。</w:t>
      </w:r>
    </w:p>
    <w:p w14:paraId="524A8CEF">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注：本合同费用为安全生产标准化体系搭建费用。如产生项目验收后相关整改产生的费用由甲方承担。</w:t>
      </w:r>
    </w:p>
    <w:p w14:paraId="412E0E9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2、支付方式按照下列第</w:t>
      </w:r>
      <w:r>
        <w:rPr>
          <w:rFonts w:hint="eastAsia" w:ascii="楷体" w:hAnsi="楷体" w:eastAsia="楷体" w:cs="楷体"/>
          <w:sz w:val="24"/>
          <w:szCs w:val="24"/>
          <w:u w:val="single"/>
        </w:rPr>
        <w:t xml:space="preserve">  ②  </w:t>
      </w:r>
      <w:r>
        <w:rPr>
          <w:rFonts w:hint="eastAsia" w:ascii="楷体" w:hAnsi="楷体" w:eastAsia="楷体" w:cs="楷体"/>
          <w:sz w:val="24"/>
          <w:szCs w:val="24"/>
        </w:rPr>
        <w:t>项执行：</w:t>
      </w:r>
    </w:p>
    <w:p w14:paraId="44B79AE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① 签订本合同时，甲方即向乙方</w:t>
      </w:r>
      <w:r>
        <w:rPr>
          <w:rFonts w:hint="eastAsia" w:ascii="楷体" w:hAnsi="楷体" w:eastAsia="楷体" w:cs="楷体"/>
          <w:b w:val="0"/>
          <w:bCs/>
          <w:sz w:val="24"/>
          <w:szCs w:val="24"/>
        </w:rPr>
        <w:t>一次性</w:t>
      </w:r>
      <w:r>
        <w:rPr>
          <w:rFonts w:hint="eastAsia" w:ascii="楷体" w:hAnsi="楷体" w:eastAsia="楷体" w:cs="楷体"/>
          <w:sz w:val="24"/>
          <w:szCs w:val="24"/>
        </w:rPr>
        <w:t>（100%）支付</w:t>
      </w:r>
      <w:bookmarkStart w:id="19" w:name="_GoBack"/>
      <w:bookmarkEnd w:id="19"/>
      <w:r>
        <w:rPr>
          <w:rFonts w:hint="eastAsia" w:ascii="楷体" w:hAnsi="楷体" w:eastAsia="楷体" w:cs="楷体"/>
          <w:sz w:val="24"/>
          <w:szCs w:val="24"/>
        </w:rPr>
        <w:t>上述费用。</w:t>
      </w:r>
    </w:p>
    <w:p w14:paraId="0E0146C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② 甲方分两次向乙方支付服务费用，签订合同</w:t>
      </w:r>
      <w:r>
        <w:rPr>
          <w:rFonts w:hint="eastAsia" w:ascii="楷体" w:hAnsi="楷体" w:eastAsia="楷体" w:cs="楷体"/>
          <w:sz w:val="24"/>
          <w:szCs w:val="24"/>
          <w:lang w:eastAsia="zh-CN"/>
        </w:rPr>
        <w:t>交付资料</w:t>
      </w:r>
      <w:r>
        <w:rPr>
          <w:rFonts w:hint="eastAsia" w:ascii="楷体" w:hAnsi="楷体" w:eastAsia="楷体" w:cs="楷体"/>
          <w:sz w:val="24"/>
          <w:szCs w:val="24"/>
        </w:rPr>
        <w:t>后甲方支付</w:t>
      </w:r>
      <w:r>
        <w:rPr>
          <w:rFonts w:hint="eastAsia" w:ascii="楷体" w:hAnsi="楷体" w:eastAsia="楷体" w:cs="楷体"/>
          <w:sz w:val="24"/>
          <w:szCs w:val="24"/>
          <w:lang w:val="en-US" w:eastAsia="zh-CN"/>
        </w:rPr>
        <w:t>合同款50%，</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60000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陆万元整</w:t>
      </w:r>
      <w:r>
        <w:rPr>
          <w:rFonts w:hint="eastAsia" w:ascii="楷体" w:hAnsi="楷体" w:eastAsia="楷体" w:cs="楷体"/>
          <w:sz w:val="24"/>
          <w:szCs w:val="24"/>
          <w:u w:val="single"/>
        </w:rPr>
        <w:t xml:space="preserve"> </w:t>
      </w:r>
      <w:r>
        <w:rPr>
          <w:rFonts w:hint="eastAsia" w:ascii="楷体" w:hAnsi="楷体" w:eastAsia="楷体" w:cs="楷体"/>
          <w:sz w:val="24"/>
          <w:szCs w:val="24"/>
        </w:rPr>
        <w:t>）予乙方；通过温宿县水利局、阿克苏水利局和新疆水利厅评审，并达到三级标准化后5个工作日甲方支付合同款50%</w:t>
      </w:r>
      <w:r>
        <w:rPr>
          <w:rFonts w:hint="eastAsia" w:ascii="楷体" w:hAnsi="楷体" w:eastAsia="楷体" w:cs="楷体"/>
          <w:sz w:val="24"/>
          <w:szCs w:val="24"/>
          <w:lang w:val="en-US" w:eastAsia="zh-CN"/>
        </w:rPr>
        <w:t>，</w:t>
      </w:r>
      <w:r>
        <w:rPr>
          <w:rFonts w:hint="eastAsia" w:ascii="楷体" w:hAnsi="楷体" w:eastAsia="楷体" w:cs="楷体"/>
          <w:sz w:val="24"/>
          <w:szCs w:val="24"/>
          <w:u w:val="single"/>
          <w:lang w:val="en-US" w:eastAsia="zh-CN"/>
        </w:rPr>
        <w:t xml:space="preserve"> 60000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陆万元整</w:t>
      </w:r>
      <w:r>
        <w:rPr>
          <w:rFonts w:hint="eastAsia" w:ascii="楷体" w:hAnsi="楷体" w:eastAsia="楷体" w:cs="楷体"/>
          <w:sz w:val="24"/>
          <w:szCs w:val="24"/>
          <w:u w:val="single"/>
        </w:rPr>
        <w:t xml:space="preserve"> </w:t>
      </w:r>
      <w:r>
        <w:rPr>
          <w:rFonts w:hint="eastAsia" w:ascii="楷体" w:hAnsi="楷体" w:eastAsia="楷体" w:cs="楷体"/>
          <w:sz w:val="24"/>
          <w:szCs w:val="24"/>
        </w:rPr>
        <w:t>）予乙方</w:t>
      </w:r>
      <w:r>
        <w:rPr>
          <w:rFonts w:hint="eastAsia" w:ascii="楷体" w:hAnsi="楷体" w:eastAsia="楷体" w:cs="楷体"/>
          <w:sz w:val="24"/>
          <w:szCs w:val="24"/>
          <w:lang w:eastAsia="zh-CN"/>
        </w:rPr>
        <w:t>，乙方应于甲方付费</w:t>
      </w:r>
      <w:r>
        <w:rPr>
          <w:rFonts w:hint="eastAsia" w:ascii="楷体" w:hAnsi="楷体" w:eastAsia="楷体" w:cs="楷体"/>
          <w:sz w:val="24"/>
          <w:szCs w:val="24"/>
          <w:lang w:val="en-US" w:eastAsia="zh-CN"/>
        </w:rPr>
        <w:t>前7个工作日内</w:t>
      </w:r>
      <w:r>
        <w:rPr>
          <w:rFonts w:hint="eastAsia" w:ascii="楷体" w:hAnsi="楷体" w:eastAsia="楷体" w:cs="楷体"/>
          <w:sz w:val="24"/>
          <w:szCs w:val="24"/>
          <w:lang w:eastAsia="zh-CN"/>
        </w:rPr>
        <w:t>向甲方提供所付金额的全额发票，</w:t>
      </w:r>
      <w:r>
        <w:rPr>
          <w:rFonts w:hint="eastAsia" w:ascii="楷体" w:hAnsi="楷体" w:eastAsia="楷体" w:cs="楷体"/>
          <w:sz w:val="24"/>
          <w:szCs w:val="24"/>
          <w:lang w:val="en-US" w:eastAsia="zh-CN"/>
        </w:rPr>
        <w:t>否则甲方有权顺延支付</w:t>
      </w:r>
      <w:r>
        <w:rPr>
          <w:rFonts w:hint="eastAsia" w:ascii="楷体" w:hAnsi="楷体" w:eastAsia="楷体" w:cs="楷体"/>
          <w:sz w:val="24"/>
          <w:szCs w:val="24"/>
        </w:rPr>
        <w:t>；</w:t>
      </w:r>
    </w:p>
    <w:p w14:paraId="0270605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3、以转帐方式支付费用的，甲方应在签订本合同后七个工作日内按照约定将第一次应支付款项汇到乙方帐户；如在合同签订后十个工作日内甲方仍未支付款项，则乙方有权终止合同。乙方收款帐户如下：</w:t>
      </w:r>
    </w:p>
    <w:p w14:paraId="31509FB2">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000000"/>
          <w:spacing w:val="-2"/>
          <w:sz w:val="24"/>
          <w:szCs w:val="24"/>
          <w:lang w:val="en-US"/>
        </w:rPr>
      </w:pPr>
      <w:r>
        <w:rPr>
          <w:rFonts w:hint="eastAsia" w:ascii="楷体" w:hAnsi="楷体" w:eastAsia="楷体" w:cs="楷体"/>
          <w:b/>
          <w:color w:val="000000"/>
          <w:spacing w:val="-2"/>
          <w:sz w:val="24"/>
          <w:szCs w:val="24"/>
        </w:rPr>
        <w:t>收 款 人：</w:t>
      </w:r>
      <w:r>
        <w:rPr>
          <w:rFonts w:hint="eastAsia" w:ascii="楷体" w:hAnsi="楷体" w:eastAsia="楷体" w:cs="楷体"/>
          <w:b/>
          <w:color w:val="000000"/>
          <w:spacing w:val="-2"/>
          <w:sz w:val="24"/>
          <w:szCs w:val="24"/>
          <w:lang w:val="en-US" w:eastAsia="zh-CN"/>
        </w:rPr>
        <w:t>新疆锦佑安全技术有限公司</w:t>
      </w:r>
    </w:p>
    <w:p w14:paraId="70B88146">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000000"/>
          <w:spacing w:val="-2"/>
          <w:sz w:val="24"/>
          <w:szCs w:val="24"/>
          <w:lang w:val="en-US" w:eastAsia="zh-CN"/>
        </w:rPr>
      </w:pPr>
      <w:r>
        <w:rPr>
          <w:rFonts w:hint="eastAsia" w:ascii="楷体" w:hAnsi="楷体" w:eastAsia="楷体" w:cs="楷体"/>
          <w:b/>
          <w:color w:val="000000"/>
          <w:spacing w:val="-2"/>
          <w:sz w:val="24"/>
          <w:szCs w:val="24"/>
        </w:rPr>
        <w:t>开户银行：中国银行股份有限公司乌鲁木齐</w:t>
      </w:r>
      <w:r>
        <w:rPr>
          <w:rFonts w:hint="eastAsia" w:ascii="楷体" w:hAnsi="楷体" w:eastAsia="楷体" w:cs="楷体"/>
          <w:b/>
          <w:color w:val="000000"/>
          <w:spacing w:val="-2"/>
          <w:sz w:val="24"/>
          <w:szCs w:val="24"/>
          <w:lang w:val="en-US" w:eastAsia="zh-CN"/>
        </w:rPr>
        <w:t>市鲤鱼山北路支行</w:t>
      </w:r>
    </w:p>
    <w:p w14:paraId="13CE5F07">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FF0000"/>
          <w:spacing w:val="-2"/>
          <w:sz w:val="24"/>
          <w:szCs w:val="24"/>
          <w:lang w:val="en-US" w:eastAsia="zh-CN"/>
        </w:rPr>
      </w:pPr>
      <w:r>
        <w:rPr>
          <w:rFonts w:hint="eastAsia" w:ascii="楷体" w:hAnsi="楷体" w:eastAsia="楷体" w:cs="楷体"/>
          <w:b/>
          <w:color w:val="000000"/>
          <w:spacing w:val="-2"/>
          <w:sz w:val="24"/>
          <w:szCs w:val="24"/>
        </w:rPr>
        <w:t>银行帐号：</w:t>
      </w:r>
      <w:r>
        <w:rPr>
          <w:rFonts w:hint="eastAsia" w:ascii="楷体" w:hAnsi="楷体" w:eastAsia="楷体" w:cs="楷体"/>
          <w:b/>
          <w:color w:val="000000"/>
          <w:spacing w:val="-2"/>
          <w:sz w:val="24"/>
          <w:szCs w:val="24"/>
          <w:lang w:val="en-US" w:eastAsia="zh-CN"/>
        </w:rPr>
        <w:t>107691516507</w:t>
      </w:r>
      <w:r>
        <w:rPr>
          <w:rFonts w:hint="eastAsia" w:ascii="楷体" w:hAnsi="楷体" w:eastAsia="楷体" w:cs="楷体"/>
          <w:b/>
          <w:color w:val="000000"/>
          <w:spacing w:val="-2"/>
          <w:sz w:val="24"/>
          <w:szCs w:val="24"/>
        </w:rPr>
        <w:t xml:space="preserve"> </w:t>
      </w:r>
    </w:p>
    <w:p w14:paraId="163E18C4">
      <w:pPr>
        <w:keepNext w:val="0"/>
        <w:keepLines w:val="0"/>
        <w:pageBreakBefore w:val="0"/>
        <w:numPr>
          <w:ilvl w:val="0"/>
          <w:numId w:val="2"/>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双方因履行本协议而发生的争议，应协商解决。协商不成的，应向原告所在地的人民法院提起诉讼。</w:t>
      </w:r>
    </w:p>
    <w:p w14:paraId="5D0C95A8">
      <w:pPr>
        <w:keepNext w:val="0"/>
        <w:keepLines w:val="0"/>
        <w:pageBreakBefore w:val="0"/>
        <w:numPr>
          <w:ilvl w:val="0"/>
          <w:numId w:val="2"/>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本合同各方确认本合同首页约定的地址（包括邮寄地址、微信地址、邮箱地址）适用范围包括非诉时各类通知、合同等文件以及合同发生纠纷时相关文件和法律文书的送达，同时包括在争议进入民事诉讼程序后的一审、二审、再审和执行程序。</w:t>
      </w:r>
    </w:p>
    <w:p w14:paraId="24655A1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240" w:firstLineChars="1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 xml:space="preserve">  送达地址需要变更时应当及时向各方履行书面通知义务，未履行通知义务的，合同首部确认的送达地址仍视为有效送达地址。</w:t>
      </w:r>
    </w:p>
    <w:p w14:paraId="6AA9C9CE">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 因以下情形导致法律文书未能被当事人接收的，依然产生送达的法律后果：</w:t>
      </w:r>
    </w:p>
    <w:p w14:paraId="0E4CE46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2、因各方当事人提供或者确认的送达地址不准确的；</w:t>
      </w:r>
    </w:p>
    <w:p w14:paraId="2E00947E">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3、送达地址变更后未及时书面告知各方和人民法院的；</w:t>
      </w:r>
    </w:p>
    <w:p w14:paraId="45E78E6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4、各方当事人或有权签收人拒绝签收的。</w:t>
      </w:r>
    </w:p>
    <w:p w14:paraId="0C548A5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发生上述情形时，邮寄送达的，以文书退回之日视为送达之日；微信送达、电子邮件送达的，以微信、电子邮件发送成功之日为送达之日；</w:t>
      </w:r>
    </w:p>
    <w:p w14:paraId="045CB5F4">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sz w:val="24"/>
          <w:szCs w:val="24"/>
        </w:rPr>
      </w:pPr>
      <w:r>
        <w:rPr>
          <w:rFonts w:hint="eastAsia" w:ascii="楷体" w:hAnsi="楷体" w:eastAsia="楷体" w:cs="楷体"/>
          <w:b/>
          <w:bCs/>
          <w:sz w:val="24"/>
          <w:szCs w:val="24"/>
        </w:rPr>
        <w:t>第</w:t>
      </w:r>
      <w:r>
        <w:rPr>
          <w:rFonts w:hint="eastAsia" w:ascii="楷体" w:hAnsi="楷体" w:eastAsia="楷体" w:cs="楷体"/>
          <w:b/>
          <w:bCs/>
          <w:sz w:val="24"/>
          <w:szCs w:val="24"/>
          <w:lang w:val="en-US" w:eastAsia="zh-CN"/>
        </w:rPr>
        <w:t>八</w:t>
      </w:r>
      <w:r>
        <w:rPr>
          <w:rFonts w:hint="eastAsia" w:ascii="楷体" w:hAnsi="楷体" w:eastAsia="楷体" w:cs="楷体"/>
          <w:b/>
          <w:bCs/>
          <w:sz w:val="24"/>
          <w:szCs w:val="24"/>
        </w:rPr>
        <w:t>条</w:t>
      </w:r>
      <w:r>
        <w:rPr>
          <w:rFonts w:hint="eastAsia" w:ascii="楷体" w:hAnsi="楷体" w:eastAsia="楷体" w:cs="楷体"/>
          <w:sz w:val="24"/>
          <w:szCs w:val="24"/>
        </w:rPr>
        <w:t xml:space="preserve"> </w:t>
      </w:r>
      <w:r>
        <w:rPr>
          <w:rFonts w:hint="eastAsia" w:ascii="楷体" w:hAnsi="楷体" w:eastAsia="楷体" w:cs="楷体"/>
          <w:spacing w:val="-2"/>
          <w:sz w:val="24"/>
          <w:szCs w:val="24"/>
        </w:rPr>
        <w:t>本合同一式</w:t>
      </w:r>
      <w:r>
        <w:rPr>
          <w:rFonts w:hint="eastAsia" w:ascii="楷体" w:hAnsi="楷体" w:eastAsia="楷体" w:cs="楷体"/>
          <w:bCs/>
          <w:sz w:val="24"/>
          <w:szCs w:val="24"/>
          <w:lang w:val="en-US" w:eastAsia="zh-CN"/>
        </w:rPr>
        <w:t>陆</w:t>
      </w:r>
      <w:r>
        <w:rPr>
          <w:rFonts w:hint="eastAsia" w:ascii="楷体" w:hAnsi="楷体" w:eastAsia="楷体" w:cs="楷体"/>
          <w:spacing w:val="-2"/>
          <w:sz w:val="24"/>
          <w:szCs w:val="24"/>
        </w:rPr>
        <w:t>份，</w:t>
      </w:r>
      <w:r>
        <w:rPr>
          <w:rFonts w:hint="eastAsia" w:ascii="楷体" w:hAnsi="楷体" w:eastAsia="楷体" w:cs="楷体"/>
          <w:sz w:val="24"/>
          <w:szCs w:val="24"/>
        </w:rPr>
        <w:t>甲方执</w:t>
      </w:r>
      <w:r>
        <w:rPr>
          <w:rFonts w:hint="eastAsia" w:ascii="楷体" w:hAnsi="楷体" w:eastAsia="楷体" w:cs="楷体"/>
          <w:bCs/>
          <w:sz w:val="24"/>
          <w:szCs w:val="24"/>
          <w:lang w:val="en-US" w:eastAsia="zh-CN"/>
        </w:rPr>
        <w:t>伍</w:t>
      </w:r>
      <w:r>
        <w:rPr>
          <w:rFonts w:hint="eastAsia" w:ascii="楷体" w:hAnsi="楷体" w:eastAsia="楷体" w:cs="楷体"/>
          <w:sz w:val="24"/>
          <w:szCs w:val="24"/>
        </w:rPr>
        <w:t>份，乙方执</w:t>
      </w:r>
      <w:r>
        <w:rPr>
          <w:rFonts w:hint="eastAsia" w:ascii="楷体" w:hAnsi="楷体" w:eastAsia="楷体" w:cs="楷体"/>
          <w:bCs/>
          <w:sz w:val="24"/>
          <w:szCs w:val="24"/>
        </w:rPr>
        <w:t>壹</w:t>
      </w:r>
      <w:r>
        <w:rPr>
          <w:rFonts w:hint="eastAsia" w:ascii="楷体" w:hAnsi="楷体" w:eastAsia="楷体" w:cs="楷体"/>
          <w:sz w:val="24"/>
          <w:szCs w:val="24"/>
        </w:rPr>
        <w:t>份，具同等法律效力，自双方签章之日起生效，在双方的责任与义务履行完毕后终止。</w:t>
      </w:r>
    </w:p>
    <w:p w14:paraId="6C8F95DE">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color w:val="000000"/>
          <w:sz w:val="24"/>
          <w:szCs w:val="24"/>
          <w:u w:val="single"/>
        </w:rPr>
      </w:pPr>
      <w:r>
        <w:rPr>
          <w:rFonts w:hint="eastAsia" w:ascii="楷体" w:hAnsi="楷体" w:eastAsia="楷体" w:cs="楷体"/>
          <w:b/>
          <w:bCs/>
          <w:color w:val="000000"/>
          <w:sz w:val="24"/>
          <w:szCs w:val="24"/>
        </w:rPr>
        <w:t>第</w:t>
      </w:r>
      <w:r>
        <w:rPr>
          <w:rFonts w:hint="eastAsia" w:ascii="楷体" w:hAnsi="楷体" w:eastAsia="楷体" w:cs="楷体"/>
          <w:b/>
          <w:bCs/>
          <w:color w:val="000000"/>
          <w:sz w:val="24"/>
          <w:szCs w:val="24"/>
          <w:lang w:val="en-US" w:eastAsia="zh-CN"/>
        </w:rPr>
        <w:t>九</w:t>
      </w:r>
      <w:r>
        <w:rPr>
          <w:rFonts w:hint="eastAsia" w:ascii="楷体" w:hAnsi="楷体" w:eastAsia="楷体" w:cs="楷体"/>
          <w:b/>
          <w:bCs/>
          <w:color w:val="000000"/>
          <w:sz w:val="24"/>
          <w:szCs w:val="24"/>
        </w:rPr>
        <w:t>条</w:t>
      </w:r>
      <w:r>
        <w:rPr>
          <w:rFonts w:hint="eastAsia" w:ascii="楷体" w:hAnsi="楷体" w:eastAsia="楷体" w:cs="楷体"/>
          <w:color w:val="000000"/>
          <w:sz w:val="24"/>
          <w:szCs w:val="24"/>
        </w:rPr>
        <w:t xml:space="preserve"> </w:t>
      </w:r>
      <w:r>
        <w:rPr>
          <w:rFonts w:hint="eastAsia" w:ascii="楷体" w:hAnsi="楷体" w:eastAsia="楷体" w:cs="楷体"/>
          <w:sz w:val="24"/>
          <w:szCs w:val="24"/>
        </w:rPr>
        <w:t>本协议不再增加任何手写的其它约定条款。双方如确需要约定补充条款，须经双方协商后，另行签订《补充协议》。《补充协议》与本协议具有同等法律效力。</w:t>
      </w:r>
    </w:p>
    <w:p w14:paraId="6F0D2202">
      <w:pPr>
        <w:keepNext w:val="0"/>
        <w:keepLines w:val="0"/>
        <w:pageBreakBefore w:val="0"/>
        <w:kinsoku/>
        <w:wordWrap/>
        <w:overflowPunct/>
        <w:topLinePunct w:val="0"/>
        <w:autoSpaceDE/>
        <w:autoSpaceDN/>
        <w:bidi w:val="0"/>
        <w:adjustRightInd w:val="0"/>
        <w:snapToGrid w:val="0"/>
        <w:spacing w:line="600" w:lineRule="exact"/>
        <w:textAlignment w:val="auto"/>
        <w:outlineLvl w:val="0"/>
        <w:rPr>
          <w:rFonts w:hint="eastAsia" w:ascii="楷体" w:hAnsi="楷体" w:eastAsia="楷体" w:cs="楷体"/>
          <w:sz w:val="24"/>
          <w:szCs w:val="24"/>
        </w:rPr>
      </w:pPr>
    </w:p>
    <w:p w14:paraId="5C459E62">
      <w:pPr>
        <w:keepNext w:val="0"/>
        <w:keepLines w:val="0"/>
        <w:pageBreakBefore w:val="0"/>
        <w:kinsoku/>
        <w:wordWrap/>
        <w:overflowPunct/>
        <w:topLinePunct w:val="0"/>
        <w:autoSpaceDE/>
        <w:autoSpaceDN/>
        <w:bidi w:val="0"/>
        <w:adjustRightInd w:val="0"/>
        <w:snapToGrid w:val="0"/>
        <w:spacing w:line="600" w:lineRule="exact"/>
        <w:textAlignment w:val="auto"/>
        <w:outlineLvl w:val="0"/>
        <w:rPr>
          <w:rFonts w:hint="eastAsia" w:ascii="楷体" w:hAnsi="楷体" w:eastAsia="楷体" w:cs="楷体"/>
          <w:sz w:val="24"/>
          <w:szCs w:val="24"/>
        </w:rPr>
      </w:pPr>
      <w:r>
        <w:rPr>
          <w:rFonts w:hint="eastAsia" w:ascii="楷体" w:hAnsi="楷体" w:eastAsia="楷体" w:cs="楷体"/>
          <w:sz w:val="24"/>
          <w:szCs w:val="24"/>
        </w:rPr>
        <w:t xml:space="preserve">甲方（盖章）：                          </w:t>
      </w:r>
      <w:r>
        <w:rPr>
          <w:rFonts w:hint="eastAsia" w:ascii="楷体" w:hAnsi="楷体" w:eastAsia="楷体" w:cs="楷体"/>
          <w:spacing w:val="-2"/>
          <w:sz w:val="24"/>
          <w:szCs w:val="24"/>
        </w:rPr>
        <w:t>乙</w:t>
      </w:r>
      <w:r>
        <w:rPr>
          <w:rFonts w:hint="eastAsia" w:ascii="楷体" w:hAnsi="楷体" w:eastAsia="楷体" w:cs="楷体"/>
          <w:sz w:val="24"/>
          <w:szCs w:val="24"/>
        </w:rPr>
        <w:t xml:space="preserve">方（盖章）：                               </w:t>
      </w:r>
    </w:p>
    <w:p w14:paraId="54E61B2B">
      <w:pPr>
        <w:keepNext w:val="0"/>
        <w:keepLines w:val="0"/>
        <w:pageBreakBefore w:val="0"/>
        <w:kinsoku/>
        <w:wordWrap/>
        <w:overflowPunct/>
        <w:topLinePunct w:val="0"/>
        <w:autoSpaceDE/>
        <w:autoSpaceDN/>
        <w:bidi w:val="0"/>
        <w:adjustRightInd w:val="0"/>
        <w:snapToGrid w:val="0"/>
        <w:spacing w:line="600" w:lineRule="exact"/>
        <w:textAlignment w:val="auto"/>
        <w:rPr>
          <w:rFonts w:hint="eastAsia" w:ascii="楷体" w:hAnsi="楷体" w:eastAsia="楷体" w:cs="楷体"/>
          <w:sz w:val="24"/>
          <w:szCs w:val="24"/>
        </w:rPr>
      </w:pPr>
      <w:r>
        <w:rPr>
          <w:rFonts w:hint="eastAsia" w:ascii="楷体" w:hAnsi="楷体" w:eastAsia="楷体" w:cs="楷体"/>
          <w:sz w:val="24"/>
          <w:szCs w:val="24"/>
        </w:rPr>
        <w:t xml:space="preserve">委托代理人（签名）：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委托代理人（签名）：</w:t>
      </w:r>
    </w:p>
    <w:p w14:paraId="4180CD35">
      <w:pPr>
        <w:keepNext w:val="0"/>
        <w:keepLines w:val="0"/>
        <w:pageBreakBefore w:val="0"/>
        <w:kinsoku/>
        <w:wordWrap/>
        <w:overflowPunct/>
        <w:topLinePunct w:val="0"/>
        <w:autoSpaceDE/>
        <w:autoSpaceDN/>
        <w:bidi w:val="0"/>
        <w:adjustRightInd w:val="0"/>
        <w:snapToGrid w:val="0"/>
        <w:spacing w:line="600" w:lineRule="exact"/>
        <w:ind w:firstLine="840" w:firstLineChars="350"/>
        <w:textAlignment w:val="auto"/>
        <w:rPr>
          <w:rFonts w:hint="eastAsia" w:ascii="楷体" w:hAnsi="楷体" w:eastAsia="楷体" w:cs="楷体"/>
          <w:sz w:val="24"/>
          <w:szCs w:val="24"/>
        </w:rPr>
      </w:pPr>
      <w:r>
        <w:rPr>
          <w:rFonts w:hint="eastAsia" w:ascii="楷体" w:hAnsi="楷体" w:eastAsia="楷体" w:cs="楷体"/>
          <w:sz w:val="24"/>
          <w:szCs w:val="24"/>
        </w:rPr>
        <w:t>年</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月</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 xml:space="preserve">日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年</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月</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日</w:t>
      </w:r>
    </w:p>
    <w:p w14:paraId="22398FC1">
      <w:pPr>
        <w:rPr>
          <w:rFonts w:hint="eastAsia" w:ascii="楷体" w:hAnsi="楷体" w:eastAsia="楷体" w:cs="楷体"/>
          <w:sz w:val="24"/>
          <w:szCs w:val="24"/>
        </w:rPr>
      </w:pPr>
      <w:r>
        <w:rPr>
          <w:rFonts w:hint="eastAsia" w:ascii="楷体" w:hAnsi="楷体" w:eastAsia="楷体" w:cs="楷体"/>
          <w:sz w:val="24"/>
          <w:szCs w:val="24"/>
        </w:rPr>
        <w:br w:type="page"/>
      </w:r>
    </w:p>
    <w:p w14:paraId="51F8BFD7">
      <w:pPr>
        <w:pStyle w:val="16"/>
        <w:keepNext w:val="0"/>
        <w:keepLines w:val="0"/>
        <w:pageBreakBefore w:val="0"/>
        <w:kinsoku/>
        <w:wordWrap/>
        <w:overflowPunct/>
        <w:topLinePunct w:val="0"/>
        <w:autoSpaceDE/>
        <w:autoSpaceDN/>
        <w:bidi w:val="0"/>
        <w:snapToGrid w:val="0"/>
        <w:spacing w:before="0" w:beforeLines="0" w:after="0" w:afterLines="0" w:line="580" w:lineRule="exact"/>
        <w:jc w:val="both"/>
        <w:rPr>
          <w:rFonts w:hint="default" w:ascii="Times New Roman" w:hAnsi="Times New Roman" w:eastAsia="黑体" w:cs="Times New Roman"/>
          <w:b w:val="0"/>
          <w:bCs/>
          <w:szCs w:val="32"/>
          <w:lang w:val="en-US" w:eastAsia="zh-CN"/>
        </w:rPr>
      </w:pPr>
      <w:r>
        <w:rPr>
          <w:rFonts w:hint="default" w:ascii="Times New Roman" w:hAnsi="Times New Roman" w:eastAsia="黑体" w:cs="Times New Roman"/>
          <w:b w:val="0"/>
          <w:bCs/>
          <w:szCs w:val="32"/>
        </w:rPr>
        <w:t>附件</w:t>
      </w:r>
      <w:r>
        <w:rPr>
          <w:rFonts w:hint="default" w:ascii="Times New Roman" w:hAnsi="Times New Roman" w:eastAsia="黑体" w:cs="Times New Roman"/>
          <w:b w:val="0"/>
          <w:bCs/>
          <w:szCs w:val="32"/>
          <w:lang w:val="en-US" w:eastAsia="zh-CN"/>
        </w:rPr>
        <w:t>1</w:t>
      </w:r>
    </w:p>
    <w:p w14:paraId="11E264C8">
      <w:pPr>
        <w:pStyle w:val="16"/>
        <w:keepNext w:val="0"/>
        <w:keepLines w:val="0"/>
        <w:pageBreakBefore w:val="0"/>
        <w:kinsoku/>
        <w:wordWrap/>
        <w:overflowPunct/>
        <w:topLinePunct w:val="0"/>
        <w:autoSpaceDE/>
        <w:autoSpaceDN/>
        <w:bidi w:val="0"/>
        <w:snapToGrid w:val="0"/>
        <w:spacing w:before="0" w:beforeLines="0" w:after="0" w:afterLines="0" w:line="580" w:lineRule="exact"/>
        <w:jc w:val="both"/>
        <w:rPr>
          <w:rFonts w:hint="default" w:ascii="Times New Roman" w:hAnsi="Times New Roman" w:cs="Times New Roman"/>
          <w:sz w:val="28"/>
        </w:rPr>
      </w:pPr>
    </w:p>
    <w:p w14:paraId="7AA4D663">
      <w:pPr>
        <w:pStyle w:val="18"/>
        <w:keepNext w:val="0"/>
        <w:keepLines w:val="0"/>
        <w:pageBreakBefore w:val="0"/>
        <w:kinsoku/>
        <w:wordWrap/>
        <w:overflowPunct/>
        <w:topLinePunct w:val="0"/>
        <w:autoSpaceDE/>
        <w:autoSpaceDN/>
        <w:bidi w:val="0"/>
        <w:snapToGrid w:val="0"/>
        <w:spacing w:line="580" w:lineRule="exact"/>
        <w:rPr>
          <w:rFonts w:hint="default" w:ascii="Times New Roman" w:hAnsi="Times New Roman" w:cs="Times New Roman"/>
          <w:w w:val="106"/>
        </w:rPr>
      </w:pPr>
      <w:r>
        <w:rPr>
          <w:rFonts w:hint="default" w:ascii="Times New Roman" w:hAnsi="Times New Roman" w:cs="Times New Roman"/>
          <w:w w:val="106"/>
        </w:rPr>
        <w:t>小型水电站安全生产标准化评审细则</w:t>
      </w:r>
    </w:p>
    <w:p w14:paraId="6CD594A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p>
    <w:p w14:paraId="74A722C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第一条  </w:t>
      </w:r>
      <w:r>
        <w:rPr>
          <w:rFonts w:hint="default" w:ascii="Times New Roman" w:hAnsi="Times New Roman" w:cs="Times New Roman"/>
        </w:rPr>
        <w:t>本细则适用于小型水电站开展安全生产标准化等级评审工作。</w:t>
      </w:r>
    </w:p>
    <w:p w14:paraId="162BA54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第二条  </w:t>
      </w:r>
      <w:r>
        <w:rPr>
          <w:rFonts w:hint="default" w:ascii="Times New Roman" w:hAnsi="Times New Roman" w:cs="Times New Roman"/>
        </w:rPr>
        <w:t>小型水电站安全生产标准化应符合下列基本条件：</w:t>
      </w:r>
    </w:p>
    <w:p w14:paraId="1D4AF92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（一）水库大坝、水闸按规定注册、变更登记、进行安全鉴定（评估）、评价安全状况和评定安全等级，鉴定（评估）结果达到二类及以上</w:t>
      </w:r>
      <w:r>
        <w:rPr>
          <w:rFonts w:hint="default" w:ascii="Times New Roman" w:hAnsi="Times New Roman" w:cs="Times New Roman"/>
          <w:lang w:eastAsia="zh-CN"/>
        </w:rPr>
        <w:t>；</w:t>
      </w:r>
    </w:p>
    <w:p w14:paraId="5DF89DB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（二）评审前一年内未发生人员死亡、重伤3人以上的生产安全责任事故、较大以上电力设备事故</w:t>
      </w:r>
      <w:r>
        <w:rPr>
          <w:rFonts w:hint="default" w:ascii="Times New Roman" w:hAnsi="Times New Roman" w:cs="Times New Roman"/>
          <w:lang w:eastAsia="zh-CN"/>
        </w:rPr>
        <w:t>；</w:t>
      </w:r>
    </w:p>
    <w:p w14:paraId="39272A25">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（三）不存在迟报、漏报、谎报、瞒报生产安全责任事故等行为</w:t>
      </w:r>
      <w:r>
        <w:rPr>
          <w:rFonts w:hint="default" w:ascii="Times New Roman" w:hAnsi="Times New Roman" w:cs="Times New Roman"/>
          <w:lang w:eastAsia="zh-CN"/>
        </w:rPr>
        <w:t>；</w:t>
      </w:r>
    </w:p>
    <w:p w14:paraId="6C6B43D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（四）不存在重大事故隐患。重大事故隐患判定，应执行水利行业现行有关规定</w:t>
      </w:r>
      <w:r>
        <w:rPr>
          <w:rFonts w:hint="default" w:ascii="Times New Roman" w:hAnsi="Times New Roman" w:cs="Times New Roman"/>
          <w:lang w:eastAsia="zh-CN"/>
        </w:rPr>
        <w:t>；</w:t>
      </w:r>
    </w:p>
    <w:p w14:paraId="60EAF1F6">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（五）按规定设置生态流量泄放设施且不影响相关水工建筑物的安全运行</w:t>
      </w:r>
      <w:r>
        <w:rPr>
          <w:rFonts w:hint="default" w:ascii="Times New Roman" w:hAnsi="Times New Roman" w:cs="Times New Roman"/>
          <w:lang w:eastAsia="zh-CN"/>
        </w:rPr>
        <w:t>；</w:t>
      </w:r>
    </w:p>
    <w:p w14:paraId="23896EEF">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（六）评审前一年内，生态流量泄放符合本地区监管要求</w:t>
      </w:r>
      <w:r>
        <w:rPr>
          <w:rFonts w:hint="default" w:ascii="Times New Roman" w:hAnsi="Times New Roman" w:cs="Times New Roman"/>
          <w:lang w:eastAsia="zh-CN"/>
        </w:rPr>
        <w:t>；</w:t>
      </w:r>
    </w:p>
    <w:p w14:paraId="670C676D">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（七）起重设备、压力容器等特种设备按规定定期检验、检测合格</w:t>
      </w:r>
      <w:r>
        <w:rPr>
          <w:rFonts w:hint="default" w:ascii="Times New Roman" w:hAnsi="Times New Roman" w:cs="Times New Roman"/>
          <w:lang w:eastAsia="zh-CN"/>
        </w:rPr>
        <w:t>；</w:t>
      </w:r>
    </w:p>
    <w:p w14:paraId="387BDB9F">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（八）压力钢管按规定检测为基本安全及以上</w:t>
      </w:r>
      <w:r>
        <w:rPr>
          <w:rFonts w:hint="default" w:ascii="Times New Roman" w:hAnsi="Times New Roman" w:cs="Times New Roman"/>
          <w:lang w:eastAsia="zh-CN"/>
        </w:rPr>
        <w:t>；</w:t>
      </w:r>
    </w:p>
    <w:p w14:paraId="3A43492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（九）不存在非法违法生产经营行为，未被列入严重失信主体名单。</w:t>
      </w:r>
    </w:p>
    <w:p w14:paraId="0F56B2D6">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第三条  </w:t>
      </w:r>
      <w:r>
        <w:rPr>
          <w:rFonts w:hint="default" w:ascii="Times New Roman" w:hAnsi="Times New Roman" w:cs="Times New Roman"/>
        </w:rPr>
        <w:t>开展小型水电站安全生产标准化评级应提供评级所需资料，并承诺资料真实、有效。</w:t>
      </w:r>
    </w:p>
    <w:p w14:paraId="09A8E2E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第四条  </w:t>
      </w:r>
      <w:r>
        <w:rPr>
          <w:rFonts w:hint="default" w:ascii="Times New Roman" w:hAnsi="Times New Roman" w:cs="Times New Roman"/>
        </w:rPr>
        <w:t>小型水电站安全生产标准化评审内容应包括8个一级评审项目、2</w:t>
      </w:r>
      <w:r>
        <w:rPr>
          <w:rFonts w:hint="eastAsia" w:ascii="Times New Roman" w:hAnsi="Times New Roman" w:cs="Times New Roman"/>
          <w:lang w:val="en-US" w:eastAsia="zh-CN"/>
        </w:rPr>
        <w:t>6</w:t>
      </w:r>
      <w:r>
        <w:rPr>
          <w:rFonts w:hint="default" w:ascii="Times New Roman" w:hAnsi="Times New Roman" w:cs="Times New Roman"/>
        </w:rPr>
        <w:t>个二级评审项目和78个三级评审项目。评审项目和赋分权重见附表1。</w:t>
      </w:r>
    </w:p>
    <w:p w14:paraId="61F6EBA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第五条  </w:t>
      </w:r>
      <w:r>
        <w:rPr>
          <w:rFonts w:hint="default" w:ascii="Times New Roman" w:hAnsi="Times New Roman" w:cs="Times New Roman"/>
        </w:rPr>
        <w:t>小型水电站安全生产标准化各项目评审要求及赋分标准应符合附表2的规定。</w:t>
      </w:r>
    </w:p>
    <w:p w14:paraId="1C7A6A4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第六条  </w:t>
      </w:r>
      <w:r>
        <w:rPr>
          <w:rFonts w:hint="default" w:ascii="Times New Roman" w:hAnsi="Times New Roman" w:cs="Times New Roman"/>
        </w:rPr>
        <w:t>小型水电站安全生产标准化评审应首先开展材料审查，符合要求后再开展现场评审。材料审查应包括基本条件审核、申报材料合规性审查以及评审项目逐项评审赋分。</w:t>
      </w:r>
    </w:p>
    <w:p w14:paraId="586F154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任一基本条件不满足要求的，不得评为达标，并终止评审。</w:t>
      </w:r>
    </w:p>
    <w:p w14:paraId="7AC06A02">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申报材料合规性审查应重点审查申报材料齐全性和材料内容规范性。</w:t>
      </w:r>
    </w:p>
    <w:p w14:paraId="39ED038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通过申报材料合规性审查的，应进行评审项目逐项评审赋分，综合确定是否开展现场评审。</w:t>
      </w:r>
    </w:p>
    <w:p w14:paraId="26C8C91D">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第七条  </w:t>
      </w:r>
      <w:r>
        <w:rPr>
          <w:rFonts w:hint="default" w:ascii="Times New Roman" w:hAnsi="Times New Roman" w:cs="Times New Roman"/>
        </w:rPr>
        <w:t>现场评审应采取查阅小型水电站安全生产标准化体系文件及记录、抽查现场、询问座谈等方式进行，并应全面复核评审赋分。</w:t>
      </w:r>
    </w:p>
    <w:p w14:paraId="67E0FE2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第八条  </w:t>
      </w:r>
      <w:r>
        <w:rPr>
          <w:rFonts w:hint="default" w:ascii="Times New Roman" w:hAnsi="Times New Roman" w:cs="Times New Roman"/>
        </w:rPr>
        <w:t>小型水电站安全生产标准化的赋分以总分1000分计，实行扣分制。在三级评审项目内有多个扣分点的，应按附表2的规定累计扣分后进行赋分。三级评审项目标准分值扣完为止，不出现负分。</w:t>
      </w:r>
    </w:p>
    <w:p w14:paraId="4896F460">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第九条  </w:t>
      </w:r>
      <w:r>
        <w:rPr>
          <w:rFonts w:hint="default" w:ascii="Times New Roman" w:hAnsi="Times New Roman" w:cs="Times New Roman"/>
        </w:rPr>
        <w:t>三级评审项目涉及的设施设备、生产工艺或评审活动实际不存在的，应确定为合理缺项，相关三级评审项目实际得分应按0分计。</w:t>
      </w:r>
    </w:p>
    <w:p w14:paraId="6AD92681">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第十条  </w:t>
      </w:r>
      <w:r>
        <w:rPr>
          <w:rFonts w:hint="default" w:ascii="Times New Roman" w:hAnsi="Times New Roman" w:cs="Times New Roman"/>
        </w:rPr>
        <w:t>评审得分按百分制进行换算，评审得分＝［各三级评审项目实际得分之和/（1000－各合理缺项分值之和）］×100。评审得分采用四舍五入，保留一位小数。</w:t>
      </w:r>
    </w:p>
    <w:p w14:paraId="1BBF076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第十一条  </w:t>
      </w:r>
      <w:r>
        <w:rPr>
          <w:rFonts w:hint="default" w:ascii="Times New Roman" w:hAnsi="Times New Roman" w:cs="Times New Roman"/>
        </w:rPr>
        <w:t>符合要求的小型水电站安全生产标准化评审等级可分为三级，一级为最高，其次是二级、三级。各等级标准应符合下列要求：</w:t>
      </w:r>
    </w:p>
    <w:p w14:paraId="4DD7C06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（一）一级评审得分90分以上（含），且各一级评审项目得分不低于应得分的70%；</w:t>
      </w:r>
    </w:p>
    <w:p w14:paraId="0BCDD58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（二）二级评审得分80分以上（含），且各一级评审项目得分不低于应得分的70%；</w:t>
      </w:r>
    </w:p>
    <w:p w14:paraId="54FA996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（三）三级评审得分70分以上（含），且各一级评审项目得分不低于应得分的60%。</w:t>
      </w:r>
    </w:p>
    <w:p w14:paraId="1708315A">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bookmarkStart w:id="0" w:name="_Hlk148207601"/>
      <w:r>
        <w:rPr>
          <w:rFonts w:hint="default" w:ascii="Times New Roman" w:hAnsi="Times New Roman" w:cs="Times New Roman"/>
        </w:rPr>
        <w:t>评审得分低于70分，或任何一级评审项目得分低于应得分的60%，</w:t>
      </w:r>
      <w:bookmarkEnd w:id="0"/>
      <w:r>
        <w:rPr>
          <w:rFonts w:hint="default" w:ascii="Times New Roman" w:hAnsi="Times New Roman" w:cs="Times New Roman"/>
        </w:rPr>
        <w:t>不符合小型水电站安全生产标准化达标要求。</w:t>
      </w:r>
    </w:p>
    <w:p w14:paraId="5852E69B">
      <w:pPr>
        <w:keepNext w:val="0"/>
        <w:keepLines w:val="0"/>
        <w:pageBreakBefore w:val="0"/>
        <w:widowControl/>
        <w:kinsoku/>
        <w:wordWrap/>
        <w:overflowPunct/>
        <w:topLinePunct w:val="0"/>
        <w:autoSpaceDE/>
        <w:autoSpaceDN/>
        <w:bidi w:val="0"/>
        <w:snapToGrid w:val="0"/>
        <w:spacing w:line="580" w:lineRule="exact"/>
        <w:ind w:firstLine="640" w:firstLineChars="200"/>
        <w:jc w:val="left"/>
        <w:rPr>
          <w:rFonts w:hint="default" w:ascii="Times New Roman" w:hAnsi="Times New Roman" w:cs="Times New Roman"/>
          <w:kern w:val="0"/>
        </w:rPr>
      </w:pPr>
      <w:r>
        <w:rPr>
          <w:rFonts w:hint="default" w:ascii="Times New Roman" w:hAnsi="Times New Roman" w:eastAsia="黑体" w:cs="Times New Roman"/>
          <w:kern w:val="0"/>
          <w:sz w:val="32"/>
        </w:rPr>
        <w:t xml:space="preserve">第十二条  </w:t>
      </w:r>
      <w:r>
        <w:rPr>
          <w:rFonts w:hint="default" w:ascii="Times New Roman" w:hAnsi="Times New Roman" w:eastAsia="仿宋_GB2312" w:cs="Times New Roman"/>
          <w:kern w:val="0"/>
          <w:sz w:val="32"/>
        </w:rPr>
        <w:t>本细则自印发之日起施行，《农村水电站安全生产标准化评审标准》同时废止。</w:t>
      </w:r>
    </w:p>
    <w:p w14:paraId="3C82CEFA">
      <w:pPr>
        <w:widowControl/>
        <w:adjustRightInd w:val="0"/>
        <w:snapToGrid w:val="0"/>
        <w:spacing w:line="360" w:lineRule="auto"/>
        <w:jc w:val="left"/>
        <w:rPr>
          <w:rFonts w:hint="default" w:ascii="Times New Roman" w:hAnsi="Times New Roman" w:cs="Times New Roman"/>
          <w:kern w:val="0"/>
        </w:rPr>
        <w:sectPr>
          <w:footerReference r:id="rId4" w:type="default"/>
          <w:pgSz w:w="11906" w:h="16838"/>
          <w:pgMar w:top="1701" w:right="1474" w:bottom="1474" w:left="1474" w:header="851" w:footer="992" w:gutter="0"/>
          <w:pgNumType w:fmt="decimal" w:start="5"/>
          <w:cols w:space="720" w:num="1"/>
          <w:docGrid w:linePitch="312" w:charSpace="0"/>
        </w:sectPr>
      </w:pPr>
    </w:p>
    <w:p w14:paraId="50F4766C">
      <w:pPr>
        <w:pStyle w:val="16"/>
        <w:spacing w:before="120" w:after="60"/>
        <w:rPr>
          <w:rFonts w:hint="default" w:ascii="Times New Roman" w:hAnsi="Times New Roman" w:cs="Times New Roman"/>
        </w:rPr>
      </w:pPr>
      <w:r>
        <w:rPr>
          <w:rFonts w:hint="default" w:ascii="Times New Roman" w:hAnsi="Times New Roman" w:cs="Times New Roman"/>
        </w:rPr>
        <w:t>附表1  小型水电站安全生产标准化评审内容</w:t>
      </w:r>
    </w:p>
    <w:tbl>
      <w:tblPr>
        <w:tblStyle w:val="9"/>
        <w:tblW w:w="0" w:type="auto"/>
        <w:jc w:val="center"/>
        <w:tblLayout w:type="fixed"/>
        <w:tblCellMar>
          <w:top w:w="0" w:type="dxa"/>
          <w:left w:w="108" w:type="dxa"/>
          <w:bottom w:w="0" w:type="dxa"/>
          <w:right w:w="108" w:type="dxa"/>
        </w:tblCellMar>
      </w:tblPr>
      <w:tblGrid>
        <w:gridCol w:w="3188"/>
        <w:gridCol w:w="4146"/>
        <w:gridCol w:w="6431"/>
      </w:tblGrid>
      <w:tr w14:paraId="252239BC">
        <w:tblPrEx>
          <w:tblCellMar>
            <w:top w:w="0" w:type="dxa"/>
            <w:left w:w="108" w:type="dxa"/>
            <w:bottom w:w="0" w:type="dxa"/>
            <w:right w:w="108" w:type="dxa"/>
          </w:tblCellMar>
        </w:tblPrEx>
        <w:trPr>
          <w:trHeight w:val="315" w:hRule="atLeast"/>
          <w:tblHeader/>
          <w:jc w:val="center"/>
        </w:trPr>
        <w:tc>
          <w:tcPr>
            <w:tcW w:w="3188" w:type="dxa"/>
            <w:tcBorders>
              <w:top w:val="single" w:color="auto" w:sz="4" w:space="0"/>
              <w:left w:val="single" w:color="auto" w:sz="4" w:space="0"/>
              <w:bottom w:val="single" w:color="auto" w:sz="4" w:space="0"/>
              <w:right w:val="single" w:color="auto" w:sz="4" w:space="0"/>
            </w:tcBorders>
            <w:noWrap w:val="0"/>
            <w:vAlign w:val="center"/>
          </w:tcPr>
          <w:p w14:paraId="01973305">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一级评审项目</w:t>
            </w:r>
          </w:p>
        </w:tc>
        <w:tc>
          <w:tcPr>
            <w:tcW w:w="4146" w:type="dxa"/>
            <w:tcBorders>
              <w:top w:val="single" w:color="auto" w:sz="4" w:space="0"/>
              <w:left w:val="nil"/>
              <w:bottom w:val="single" w:color="auto" w:sz="4" w:space="0"/>
              <w:right w:val="single" w:color="auto" w:sz="4" w:space="0"/>
            </w:tcBorders>
            <w:noWrap w:val="0"/>
            <w:vAlign w:val="center"/>
          </w:tcPr>
          <w:p w14:paraId="0261BEE6">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二级评审项目</w:t>
            </w:r>
          </w:p>
        </w:tc>
        <w:tc>
          <w:tcPr>
            <w:tcW w:w="6431" w:type="dxa"/>
            <w:tcBorders>
              <w:top w:val="single" w:color="auto" w:sz="4" w:space="0"/>
              <w:left w:val="nil"/>
              <w:bottom w:val="single" w:color="auto" w:sz="4" w:space="0"/>
              <w:right w:val="single" w:color="auto" w:sz="4" w:space="0"/>
            </w:tcBorders>
            <w:noWrap w:val="0"/>
            <w:vAlign w:val="center"/>
          </w:tcPr>
          <w:p w14:paraId="2B1683DF">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三级评审项目</w:t>
            </w:r>
          </w:p>
        </w:tc>
      </w:tr>
      <w:tr w14:paraId="2F5D8457">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4B63DC8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1.目标职责（60分）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6A127B8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1.1目标（15分）</w:t>
            </w:r>
          </w:p>
        </w:tc>
        <w:tc>
          <w:tcPr>
            <w:tcW w:w="6431" w:type="dxa"/>
            <w:tcBorders>
              <w:top w:val="nil"/>
              <w:left w:val="nil"/>
              <w:bottom w:val="single" w:color="auto" w:sz="4" w:space="0"/>
              <w:right w:val="single" w:color="auto" w:sz="4" w:space="0"/>
            </w:tcBorders>
            <w:noWrap w:val="0"/>
            <w:vAlign w:val="center"/>
          </w:tcPr>
          <w:p w14:paraId="1D0F8EF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1.1.1目标制定并分解（10分）</w:t>
            </w:r>
          </w:p>
        </w:tc>
      </w:tr>
      <w:tr w14:paraId="429CC8C6">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A86EA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E59060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2A8974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1.1.2目标评估与考核（5分）</w:t>
            </w:r>
          </w:p>
        </w:tc>
      </w:tr>
      <w:tr w14:paraId="7E2D07D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BE2CE8">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0D0F3787">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1.2机构和职责（15分）</w:t>
            </w:r>
          </w:p>
        </w:tc>
        <w:tc>
          <w:tcPr>
            <w:tcW w:w="6431" w:type="dxa"/>
            <w:tcBorders>
              <w:top w:val="nil"/>
              <w:left w:val="nil"/>
              <w:bottom w:val="single" w:color="auto" w:sz="4" w:space="0"/>
              <w:right w:val="single" w:color="auto" w:sz="4" w:space="0"/>
            </w:tcBorders>
            <w:noWrap w:val="0"/>
            <w:vAlign w:val="center"/>
          </w:tcPr>
          <w:p w14:paraId="473BAED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1.2.1安全生产机构</w:t>
            </w:r>
            <w:r>
              <w:rPr>
                <w:rFonts w:hint="default" w:ascii="Times New Roman" w:hAnsi="Times New Roman" w:eastAsia="仿宋" w:cs="Times New Roman"/>
                <w:sz w:val="28"/>
                <w:szCs w:val="28"/>
              </w:rPr>
              <w:t>和人员</w:t>
            </w:r>
            <w:r>
              <w:rPr>
                <w:rFonts w:hint="default" w:ascii="Times New Roman" w:hAnsi="Times New Roman" w:cs="Times New Roman"/>
                <w:sz w:val="28"/>
                <w:szCs w:val="28"/>
              </w:rPr>
              <w:t>（5分）</w:t>
            </w:r>
          </w:p>
        </w:tc>
      </w:tr>
      <w:tr w14:paraId="48D4C66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61C65B">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2340B2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E93071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1.2.2安全生产责任制（5分）</w:t>
            </w:r>
          </w:p>
        </w:tc>
      </w:tr>
      <w:tr w14:paraId="2488FAA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22D1BC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1D7C0DB">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79C65B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1.2.3安全生产会议（5分）</w:t>
            </w:r>
          </w:p>
        </w:tc>
      </w:tr>
      <w:tr w14:paraId="69C7567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0B1A263">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2467113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1.3全员参与（5分）</w:t>
            </w:r>
          </w:p>
        </w:tc>
        <w:tc>
          <w:tcPr>
            <w:tcW w:w="6431" w:type="dxa"/>
            <w:tcBorders>
              <w:top w:val="nil"/>
              <w:left w:val="nil"/>
              <w:bottom w:val="single" w:color="auto" w:sz="4" w:space="0"/>
              <w:right w:val="single" w:color="auto" w:sz="4" w:space="0"/>
            </w:tcBorders>
            <w:noWrap w:val="0"/>
            <w:vAlign w:val="center"/>
          </w:tcPr>
          <w:p w14:paraId="764173C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1.3.1全员参与（5分）</w:t>
            </w:r>
          </w:p>
        </w:tc>
      </w:tr>
      <w:tr w14:paraId="34973E6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109EF1">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707B4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1.4安全生产投入（15分）</w:t>
            </w:r>
          </w:p>
        </w:tc>
        <w:tc>
          <w:tcPr>
            <w:tcW w:w="6431" w:type="dxa"/>
            <w:tcBorders>
              <w:top w:val="nil"/>
              <w:left w:val="nil"/>
              <w:bottom w:val="single" w:color="auto" w:sz="4" w:space="0"/>
              <w:right w:val="single" w:color="auto" w:sz="4" w:space="0"/>
            </w:tcBorders>
            <w:noWrap w:val="0"/>
            <w:vAlign w:val="center"/>
          </w:tcPr>
          <w:p w14:paraId="60BBCA27">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1.4.1安全生产投入（15分）</w:t>
            </w:r>
          </w:p>
        </w:tc>
      </w:tr>
      <w:tr w14:paraId="6C3F05E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5957F35">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4F9BDE0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1.5安全文化建设（5分）</w:t>
            </w:r>
          </w:p>
        </w:tc>
        <w:tc>
          <w:tcPr>
            <w:tcW w:w="6431" w:type="dxa"/>
            <w:tcBorders>
              <w:top w:val="nil"/>
              <w:left w:val="nil"/>
              <w:bottom w:val="single" w:color="auto" w:sz="4" w:space="0"/>
              <w:right w:val="single" w:color="auto" w:sz="4" w:space="0"/>
            </w:tcBorders>
            <w:noWrap w:val="0"/>
            <w:vAlign w:val="center"/>
          </w:tcPr>
          <w:p w14:paraId="3E7D34D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1.5.1安全文化建设（5分）</w:t>
            </w:r>
          </w:p>
        </w:tc>
      </w:tr>
      <w:tr w14:paraId="534E683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0245C00">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40F1BA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1.6</w:t>
            </w:r>
            <w:r>
              <w:rPr>
                <w:rFonts w:hint="default" w:ascii="Times New Roman" w:hAnsi="Times New Roman" w:cs="Times New Roman"/>
                <w:spacing w:val="-4"/>
                <w:sz w:val="28"/>
                <w:szCs w:val="28"/>
              </w:rPr>
              <w:t>安全生产信息化建设（5分）</w:t>
            </w:r>
          </w:p>
        </w:tc>
        <w:tc>
          <w:tcPr>
            <w:tcW w:w="6431" w:type="dxa"/>
            <w:tcBorders>
              <w:top w:val="nil"/>
              <w:left w:val="nil"/>
              <w:bottom w:val="single" w:color="auto" w:sz="4" w:space="0"/>
              <w:right w:val="single" w:color="auto" w:sz="4" w:space="0"/>
            </w:tcBorders>
            <w:noWrap w:val="0"/>
            <w:vAlign w:val="center"/>
          </w:tcPr>
          <w:p w14:paraId="310E6A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1.6.1安全生产信息化（5分）</w:t>
            </w:r>
          </w:p>
        </w:tc>
      </w:tr>
      <w:tr w14:paraId="3CF08336">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21255F6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2.制度化管理（70分）</w:t>
            </w:r>
          </w:p>
        </w:tc>
        <w:tc>
          <w:tcPr>
            <w:tcW w:w="4146" w:type="dxa"/>
            <w:tcBorders>
              <w:top w:val="nil"/>
              <w:left w:val="nil"/>
              <w:bottom w:val="single" w:color="auto" w:sz="4" w:space="0"/>
              <w:right w:val="single" w:color="auto" w:sz="4" w:space="0"/>
            </w:tcBorders>
            <w:noWrap w:val="0"/>
            <w:vAlign w:val="center"/>
          </w:tcPr>
          <w:p w14:paraId="100C054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2.1法规标准识别（5分）</w:t>
            </w:r>
          </w:p>
        </w:tc>
        <w:tc>
          <w:tcPr>
            <w:tcW w:w="6431" w:type="dxa"/>
            <w:tcBorders>
              <w:top w:val="nil"/>
              <w:left w:val="nil"/>
              <w:bottom w:val="single" w:color="auto" w:sz="4" w:space="0"/>
              <w:right w:val="single" w:color="auto" w:sz="4" w:space="0"/>
            </w:tcBorders>
            <w:noWrap w:val="0"/>
            <w:vAlign w:val="center"/>
          </w:tcPr>
          <w:p w14:paraId="112ABF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2.1.1法规标准识别配备（5分）</w:t>
            </w:r>
          </w:p>
        </w:tc>
      </w:tr>
      <w:tr w14:paraId="4A05CDBB">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756E859">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756DA8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2.2规章制度（25分）</w:t>
            </w:r>
          </w:p>
        </w:tc>
        <w:tc>
          <w:tcPr>
            <w:tcW w:w="6431" w:type="dxa"/>
            <w:tcBorders>
              <w:top w:val="nil"/>
              <w:left w:val="nil"/>
              <w:bottom w:val="single" w:color="auto" w:sz="4" w:space="0"/>
              <w:right w:val="single" w:color="auto" w:sz="4" w:space="0"/>
            </w:tcBorders>
            <w:noWrap w:val="0"/>
            <w:vAlign w:val="center"/>
          </w:tcPr>
          <w:p w14:paraId="32F6356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2.2.1安全生产规章制度建设（25分）</w:t>
            </w:r>
          </w:p>
        </w:tc>
      </w:tr>
      <w:tr w14:paraId="403B578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1EF4E54">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4AA4B5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2.3操作规程（25分）</w:t>
            </w:r>
          </w:p>
        </w:tc>
        <w:tc>
          <w:tcPr>
            <w:tcW w:w="6431" w:type="dxa"/>
            <w:tcBorders>
              <w:top w:val="nil"/>
              <w:left w:val="nil"/>
              <w:bottom w:val="single" w:color="auto" w:sz="4" w:space="0"/>
              <w:right w:val="single" w:color="auto" w:sz="4" w:space="0"/>
            </w:tcBorders>
            <w:noWrap w:val="0"/>
            <w:vAlign w:val="center"/>
          </w:tcPr>
          <w:p w14:paraId="7DD9BE5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2.3.1安全操作规程配备（25分）</w:t>
            </w:r>
          </w:p>
        </w:tc>
      </w:tr>
      <w:tr w14:paraId="0DDC05D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463B4E5">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4794D24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2.4文档管理（15分）</w:t>
            </w:r>
          </w:p>
        </w:tc>
        <w:tc>
          <w:tcPr>
            <w:tcW w:w="6431" w:type="dxa"/>
            <w:tcBorders>
              <w:top w:val="nil"/>
              <w:left w:val="nil"/>
              <w:bottom w:val="single" w:color="auto" w:sz="4" w:space="0"/>
              <w:right w:val="single" w:color="auto" w:sz="4" w:space="0"/>
            </w:tcBorders>
            <w:noWrap w:val="0"/>
            <w:vAlign w:val="center"/>
          </w:tcPr>
          <w:p w14:paraId="7755C5C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2.4.1安全记录档案管理（10分）</w:t>
            </w:r>
          </w:p>
        </w:tc>
      </w:tr>
      <w:tr w14:paraId="674C7C5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89C6E0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906052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7B3502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2.4.2文档评估与修订（5分）</w:t>
            </w:r>
          </w:p>
        </w:tc>
      </w:tr>
      <w:tr w14:paraId="23FBC254">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199A2D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3.教育培训（60分）</w:t>
            </w:r>
          </w:p>
        </w:tc>
        <w:tc>
          <w:tcPr>
            <w:tcW w:w="4146" w:type="dxa"/>
            <w:tcBorders>
              <w:top w:val="nil"/>
              <w:left w:val="nil"/>
              <w:bottom w:val="single" w:color="auto" w:sz="4" w:space="0"/>
              <w:right w:val="single" w:color="auto" w:sz="4" w:space="0"/>
            </w:tcBorders>
            <w:noWrap w:val="0"/>
            <w:vAlign w:val="center"/>
          </w:tcPr>
          <w:p w14:paraId="36EC625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3.1教育培训管理（5分）</w:t>
            </w:r>
          </w:p>
        </w:tc>
        <w:tc>
          <w:tcPr>
            <w:tcW w:w="6431" w:type="dxa"/>
            <w:tcBorders>
              <w:top w:val="nil"/>
              <w:left w:val="nil"/>
              <w:bottom w:val="single" w:color="auto" w:sz="4" w:space="0"/>
              <w:right w:val="single" w:color="auto" w:sz="4" w:space="0"/>
            </w:tcBorders>
            <w:noWrap w:val="0"/>
            <w:vAlign w:val="center"/>
          </w:tcPr>
          <w:p w14:paraId="3A96CC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3.1.1安全教育培训管理（5分）</w:t>
            </w:r>
          </w:p>
        </w:tc>
      </w:tr>
      <w:tr w14:paraId="5980428B">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C55EB44">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74B9A98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3.2人员教育培训（55分）</w:t>
            </w:r>
          </w:p>
        </w:tc>
        <w:tc>
          <w:tcPr>
            <w:tcW w:w="6431" w:type="dxa"/>
            <w:tcBorders>
              <w:top w:val="nil"/>
              <w:left w:val="nil"/>
              <w:bottom w:val="single" w:color="auto" w:sz="4" w:space="0"/>
              <w:right w:val="single" w:color="auto" w:sz="4" w:space="0"/>
            </w:tcBorders>
            <w:noWrap w:val="0"/>
            <w:vAlign w:val="center"/>
          </w:tcPr>
          <w:p w14:paraId="25B7830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3.2.1</w:t>
            </w:r>
            <w:r>
              <w:rPr>
                <w:rFonts w:hint="default" w:ascii="Times New Roman" w:hAnsi="Times New Roman" w:cs="Times New Roman"/>
                <w:spacing w:val="-4"/>
                <w:sz w:val="28"/>
                <w:szCs w:val="28"/>
              </w:rPr>
              <w:t>主要负责人和安全生产管理人员培训（10分）</w:t>
            </w:r>
          </w:p>
        </w:tc>
      </w:tr>
      <w:tr w14:paraId="5622A15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77D68A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C0A3E9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5A9164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3.2.2在岗员工培训（10分）</w:t>
            </w:r>
          </w:p>
        </w:tc>
      </w:tr>
      <w:tr w14:paraId="5A7A4D3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A09C6F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581968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1B975E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3.2.3新员工及重新上岗人员岗前培训（15分）</w:t>
            </w:r>
          </w:p>
        </w:tc>
      </w:tr>
      <w:tr w14:paraId="54B627C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0C2B790">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03F0D3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0307C6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3.2.4特种作业人员培训（10分）</w:t>
            </w:r>
          </w:p>
        </w:tc>
      </w:tr>
      <w:tr w14:paraId="2F3B26B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5DA7E5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D5CA67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456EEA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3.2.5相关方作业人员安全教育（5分）</w:t>
            </w:r>
          </w:p>
        </w:tc>
      </w:tr>
      <w:tr w14:paraId="3753B04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BC537DA">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B96B7B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72801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3.2.6外来人员安全教育（5分）</w:t>
            </w:r>
          </w:p>
        </w:tc>
      </w:tr>
      <w:tr w14:paraId="4C49B399">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17C7C62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4.现场管理（600分）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190BF45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4.1设施设备管理（425分）</w:t>
            </w:r>
          </w:p>
        </w:tc>
        <w:tc>
          <w:tcPr>
            <w:tcW w:w="6431" w:type="dxa"/>
            <w:tcBorders>
              <w:top w:val="nil"/>
              <w:left w:val="nil"/>
              <w:bottom w:val="single" w:color="auto" w:sz="4" w:space="0"/>
              <w:right w:val="single" w:color="auto" w:sz="4" w:space="0"/>
            </w:tcBorders>
            <w:noWrap w:val="0"/>
            <w:vAlign w:val="center"/>
          </w:tcPr>
          <w:p w14:paraId="137AF2C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4.1.1挡水建筑物（60分）</w:t>
            </w:r>
          </w:p>
        </w:tc>
      </w:tr>
      <w:tr w14:paraId="38076C2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4F9F3D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BEAB8B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6ABECB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4.1.2泄水建筑物（20分）</w:t>
            </w:r>
          </w:p>
        </w:tc>
      </w:tr>
      <w:tr w14:paraId="40FED133">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17948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E6324C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88773A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4.1.3发电引水设施（40分）</w:t>
            </w:r>
          </w:p>
        </w:tc>
      </w:tr>
      <w:tr w14:paraId="1EDA6A0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32BF17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79AE85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E5EFE1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4.1.4启闭机房、发电厂房（10分）</w:t>
            </w:r>
          </w:p>
        </w:tc>
      </w:tr>
      <w:tr w14:paraId="46DD983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64521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2E45FE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7DB339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4.1.5升压站设施（10分）</w:t>
            </w:r>
          </w:p>
        </w:tc>
      </w:tr>
      <w:tr w14:paraId="75023B9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EE9D9D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427036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0AF3E7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4.1.6泄洪闸门（30分）</w:t>
            </w:r>
          </w:p>
        </w:tc>
      </w:tr>
      <w:tr w14:paraId="25A5915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3BDAFE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03EC69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C26F9E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4.1.7进、出水口金属结构（10分）</w:t>
            </w:r>
          </w:p>
        </w:tc>
      </w:tr>
      <w:tr w14:paraId="7705D8F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5B973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2F9DB2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9FEF21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4.1.8启闭机（10分）</w:t>
            </w:r>
          </w:p>
        </w:tc>
      </w:tr>
      <w:tr w14:paraId="2642BB1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2321A4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3DDA3E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919DB7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4.1.9水轮机（15分）</w:t>
            </w:r>
          </w:p>
        </w:tc>
      </w:tr>
      <w:tr w14:paraId="4701A8D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EBA2EB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F31694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F1B63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4.1.10调速器（15分）</w:t>
            </w:r>
          </w:p>
        </w:tc>
      </w:tr>
      <w:tr w14:paraId="116A22B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CD5E86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3995B2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AE8247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4.1.11主阀（15分）</w:t>
            </w:r>
          </w:p>
        </w:tc>
      </w:tr>
      <w:tr w14:paraId="06FDABA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4B97F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D51CC8F">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FBA37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4.1.12油气水系统（15分）</w:t>
            </w:r>
          </w:p>
        </w:tc>
      </w:tr>
      <w:tr w14:paraId="403DD84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BD8F52">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961ABBA">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0383F1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4.1.13发电机（15分）</w:t>
            </w:r>
          </w:p>
        </w:tc>
      </w:tr>
      <w:tr w14:paraId="07F08F1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AF8D8E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23B484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D33A6B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4.1.14励磁装置（10分）</w:t>
            </w:r>
          </w:p>
        </w:tc>
      </w:tr>
      <w:tr w14:paraId="1AE51FB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C0954C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4DEF01C">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F4B604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4.1.15变压器（15分）</w:t>
            </w:r>
          </w:p>
        </w:tc>
      </w:tr>
      <w:tr w14:paraId="06CE174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17F1FA9">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5F85EDE">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980FF7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4.1.16配电装置（10分）</w:t>
            </w:r>
          </w:p>
        </w:tc>
      </w:tr>
      <w:tr w14:paraId="1CBDAE5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4A9F62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A0DBE1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5E5EC2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4.1.17测控及保护装置（10分）</w:t>
            </w:r>
          </w:p>
        </w:tc>
      </w:tr>
      <w:tr w14:paraId="3327F84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61D050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BE9EAA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A23AB9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4.1.18集控设备（10分）</w:t>
            </w:r>
          </w:p>
        </w:tc>
      </w:tr>
      <w:tr w14:paraId="6458D23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7706A4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569B79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29E401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4.1.19防雷和接地（5分）</w:t>
            </w:r>
          </w:p>
        </w:tc>
      </w:tr>
      <w:tr w14:paraId="565C873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595784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AB5F11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85E7D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4.1.20厂用电与直流系统（10分）</w:t>
            </w:r>
          </w:p>
        </w:tc>
      </w:tr>
      <w:tr w14:paraId="0CBA431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C90F1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534F2D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CEC5DF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4.1.21通信系统（5分）</w:t>
            </w:r>
          </w:p>
        </w:tc>
      </w:tr>
      <w:tr w14:paraId="03AB26E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6FF4ED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BFFF4E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049D3C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4.1.22特种设备（5分）</w:t>
            </w:r>
          </w:p>
        </w:tc>
      </w:tr>
      <w:tr w14:paraId="7AE660E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3197D3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FB501C">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5DB617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4.1.23备品备件（5分）</w:t>
            </w:r>
          </w:p>
        </w:tc>
      </w:tr>
      <w:tr w14:paraId="26CDA5A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1D66A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528DAD4">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BEB6EA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4.1.24设施设备评级（5分）</w:t>
            </w:r>
          </w:p>
        </w:tc>
      </w:tr>
      <w:tr w14:paraId="55E91DB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A42479">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9FAB9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794C66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4.1.25设备标识（10分）</w:t>
            </w:r>
          </w:p>
        </w:tc>
      </w:tr>
      <w:tr w14:paraId="380780B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C7CD3D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CEDD78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8A77B9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4.1.26设备运行（10分）</w:t>
            </w:r>
          </w:p>
        </w:tc>
      </w:tr>
      <w:tr w14:paraId="4BE8837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81E4E2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AC8FAD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B16447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4.1.27设备故障处理（5分）</w:t>
            </w:r>
          </w:p>
        </w:tc>
      </w:tr>
      <w:tr w14:paraId="4568107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C03C8D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D1DF0CB">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05710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4.1.28设备检修（10分）</w:t>
            </w:r>
          </w:p>
        </w:tc>
      </w:tr>
      <w:tr w14:paraId="51595A7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C47E2C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8AF4C4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68A849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4.1.29设备报废拆除（15分）</w:t>
            </w:r>
          </w:p>
        </w:tc>
      </w:tr>
      <w:tr w14:paraId="33684116">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D978B6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C98BB8E">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5BA86F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4.1.30设施设备总体面貌（20分）</w:t>
            </w:r>
          </w:p>
        </w:tc>
      </w:tr>
      <w:tr w14:paraId="77D4B86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1DBCA6F">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049698C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4.2作业安全（145分）</w:t>
            </w:r>
          </w:p>
        </w:tc>
        <w:tc>
          <w:tcPr>
            <w:tcW w:w="6431" w:type="dxa"/>
            <w:tcBorders>
              <w:top w:val="nil"/>
              <w:left w:val="nil"/>
              <w:bottom w:val="single" w:color="auto" w:sz="4" w:space="0"/>
              <w:right w:val="single" w:color="auto" w:sz="4" w:space="0"/>
            </w:tcBorders>
            <w:noWrap w:val="0"/>
            <w:vAlign w:val="center"/>
          </w:tcPr>
          <w:p w14:paraId="463EE74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4.2.1作业安全环境（30分）</w:t>
            </w:r>
          </w:p>
        </w:tc>
      </w:tr>
      <w:tr w14:paraId="6C8B22C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5AE79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4819633">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DA43CD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4.2.2消防管理（10分）</w:t>
            </w:r>
          </w:p>
        </w:tc>
      </w:tr>
      <w:tr w14:paraId="1F0F076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4A9097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745D0A4">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34307C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4.2.3作业“两票”执行（50分）</w:t>
            </w:r>
          </w:p>
        </w:tc>
      </w:tr>
      <w:tr w14:paraId="651DE00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E88626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69D630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EBC61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4.2.4作业安全技术措施（20分）</w:t>
            </w:r>
          </w:p>
        </w:tc>
      </w:tr>
      <w:tr w14:paraId="18F8BA5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14175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B566EA6">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3BA12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4.2.5调度及运行方式（10分）</w:t>
            </w:r>
          </w:p>
        </w:tc>
      </w:tr>
      <w:tr w14:paraId="23E1B73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F646B8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FB67CA3">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F34DC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4.2.6作业组织指挥与监督（15分）</w:t>
            </w:r>
          </w:p>
        </w:tc>
      </w:tr>
      <w:tr w14:paraId="3F2F2A3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9594FB2">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928B94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9C0510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4.2.7作业防护（10分）</w:t>
            </w:r>
          </w:p>
        </w:tc>
      </w:tr>
      <w:tr w14:paraId="0AB570D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C3AC030">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2CA045E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4.3职业健康（20分）</w:t>
            </w:r>
          </w:p>
        </w:tc>
        <w:tc>
          <w:tcPr>
            <w:tcW w:w="6431" w:type="dxa"/>
            <w:tcBorders>
              <w:top w:val="nil"/>
              <w:left w:val="nil"/>
              <w:bottom w:val="single" w:color="auto" w:sz="4" w:space="0"/>
              <w:right w:val="single" w:color="auto" w:sz="4" w:space="0"/>
            </w:tcBorders>
            <w:noWrap w:val="0"/>
            <w:vAlign w:val="center"/>
          </w:tcPr>
          <w:p w14:paraId="255F2E3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4.3.1职业病危害因素辨识与防护（5分）</w:t>
            </w:r>
          </w:p>
        </w:tc>
      </w:tr>
      <w:tr w14:paraId="705A74A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FF0500B">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41E178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CD4E8A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4.3.2职业危害场所检测与申报（5分）</w:t>
            </w:r>
          </w:p>
        </w:tc>
      </w:tr>
      <w:tr w14:paraId="5754C8A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1A9D83C">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8BD044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90C801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4.3.3职业健康检查与建档（5分）</w:t>
            </w:r>
          </w:p>
        </w:tc>
      </w:tr>
      <w:tr w14:paraId="6C26ECC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3318E8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4D79DC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8A13C2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4.3.4职业健康危害告知（5分）</w:t>
            </w:r>
          </w:p>
        </w:tc>
      </w:tr>
      <w:tr w14:paraId="1B93327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4506A92">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11675A1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4.4警示标志与标识（10分）</w:t>
            </w:r>
          </w:p>
        </w:tc>
        <w:tc>
          <w:tcPr>
            <w:tcW w:w="6431" w:type="dxa"/>
            <w:tcBorders>
              <w:top w:val="nil"/>
              <w:left w:val="nil"/>
              <w:bottom w:val="single" w:color="auto" w:sz="4" w:space="0"/>
              <w:right w:val="single" w:color="auto" w:sz="4" w:space="0"/>
            </w:tcBorders>
            <w:noWrap w:val="0"/>
            <w:vAlign w:val="center"/>
          </w:tcPr>
          <w:p w14:paraId="247A7AF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4.4.1警示标志与标识（10分）</w:t>
            </w:r>
          </w:p>
        </w:tc>
      </w:tr>
      <w:tr w14:paraId="1504E3FB">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450523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5.安全风险管控及隐患排查治理（130分）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2D8ADD1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5.1安全风险管控（50分）</w:t>
            </w:r>
          </w:p>
        </w:tc>
        <w:tc>
          <w:tcPr>
            <w:tcW w:w="6431" w:type="dxa"/>
            <w:tcBorders>
              <w:top w:val="nil"/>
              <w:left w:val="nil"/>
              <w:bottom w:val="single" w:color="auto" w:sz="4" w:space="0"/>
              <w:right w:val="single" w:color="auto" w:sz="4" w:space="0"/>
            </w:tcBorders>
            <w:noWrap w:val="0"/>
            <w:vAlign w:val="center"/>
          </w:tcPr>
          <w:p w14:paraId="1148FC3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5.1.1危险源辨识与风险评价（20分）</w:t>
            </w:r>
          </w:p>
        </w:tc>
      </w:tr>
      <w:tr w14:paraId="31F5A82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B86CD6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5A320A">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1FA6CE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5.1.2重大危险源和风险管控措施（25分）</w:t>
            </w:r>
          </w:p>
        </w:tc>
      </w:tr>
      <w:tr w14:paraId="372BBB8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062D02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A1D0A0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B21C9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5.1.3安全风险告知（5分）</w:t>
            </w:r>
          </w:p>
        </w:tc>
      </w:tr>
      <w:tr w14:paraId="20F69E8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FFBC9FD">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09A7D9B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5.2隐患排查治理（60分）</w:t>
            </w:r>
          </w:p>
        </w:tc>
        <w:tc>
          <w:tcPr>
            <w:tcW w:w="6431" w:type="dxa"/>
            <w:tcBorders>
              <w:top w:val="nil"/>
              <w:left w:val="nil"/>
              <w:bottom w:val="single" w:color="auto" w:sz="4" w:space="0"/>
              <w:right w:val="single" w:color="auto" w:sz="4" w:space="0"/>
            </w:tcBorders>
            <w:noWrap w:val="0"/>
            <w:vAlign w:val="center"/>
          </w:tcPr>
          <w:p w14:paraId="076AE2E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5.2.1隐患排查治理（60分）</w:t>
            </w:r>
          </w:p>
        </w:tc>
      </w:tr>
      <w:tr w14:paraId="4B51801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11B2596">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8BC8F4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5.3预测预警（20分）</w:t>
            </w:r>
          </w:p>
        </w:tc>
        <w:tc>
          <w:tcPr>
            <w:tcW w:w="6431" w:type="dxa"/>
            <w:tcBorders>
              <w:top w:val="nil"/>
              <w:left w:val="nil"/>
              <w:bottom w:val="single" w:color="auto" w:sz="4" w:space="0"/>
              <w:right w:val="single" w:color="auto" w:sz="4" w:space="0"/>
            </w:tcBorders>
            <w:noWrap w:val="0"/>
            <w:vAlign w:val="center"/>
          </w:tcPr>
          <w:p w14:paraId="0A89BD1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5.3.1自然灾害与安全生产预测预警（20分）</w:t>
            </w:r>
          </w:p>
        </w:tc>
      </w:tr>
      <w:tr w14:paraId="6BB69BD3">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474A056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6.应急管理（40分）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16FCDE8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6.1应急准备（30分）</w:t>
            </w:r>
          </w:p>
        </w:tc>
        <w:tc>
          <w:tcPr>
            <w:tcW w:w="6431" w:type="dxa"/>
            <w:tcBorders>
              <w:top w:val="nil"/>
              <w:left w:val="nil"/>
              <w:bottom w:val="single" w:color="auto" w:sz="4" w:space="0"/>
              <w:right w:val="single" w:color="auto" w:sz="4" w:space="0"/>
            </w:tcBorders>
            <w:noWrap w:val="0"/>
            <w:vAlign w:val="center"/>
          </w:tcPr>
          <w:p w14:paraId="638105F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6.1.1应急预案体系建设（5分）</w:t>
            </w:r>
          </w:p>
        </w:tc>
      </w:tr>
      <w:tr w14:paraId="20E18CF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4F95E2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DB1FB5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4B4BCF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6.1.2应急保障（15分）</w:t>
            </w:r>
          </w:p>
        </w:tc>
      </w:tr>
      <w:tr w14:paraId="1ECD6CF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6E3EDF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E2A885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DECD38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6.1.3应急预案演练（10分）</w:t>
            </w:r>
          </w:p>
        </w:tc>
      </w:tr>
      <w:tr w14:paraId="7A4F700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B87830">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92482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6.2应急处置（10分）</w:t>
            </w:r>
          </w:p>
        </w:tc>
        <w:tc>
          <w:tcPr>
            <w:tcW w:w="6431" w:type="dxa"/>
            <w:tcBorders>
              <w:top w:val="nil"/>
              <w:left w:val="nil"/>
              <w:bottom w:val="single" w:color="auto" w:sz="4" w:space="0"/>
              <w:right w:val="single" w:color="auto" w:sz="4" w:space="0"/>
            </w:tcBorders>
            <w:noWrap w:val="0"/>
            <w:vAlign w:val="center"/>
          </w:tcPr>
          <w:p w14:paraId="107F848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6.2.1应急处置措施（10分）</w:t>
            </w:r>
          </w:p>
        </w:tc>
      </w:tr>
      <w:tr w14:paraId="3B5BD88D">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61522D0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7.事故管理（20分）</w:t>
            </w:r>
          </w:p>
        </w:tc>
        <w:tc>
          <w:tcPr>
            <w:tcW w:w="4146" w:type="dxa"/>
            <w:tcBorders>
              <w:top w:val="nil"/>
              <w:left w:val="nil"/>
              <w:bottom w:val="single" w:color="auto" w:sz="4" w:space="0"/>
              <w:right w:val="single" w:color="auto" w:sz="4" w:space="0"/>
            </w:tcBorders>
            <w:noWrap w:val="0"/>
            <w:vAlign w:val="center"/>
          </w:tcPr>
          <w:p w14:paraId="5DAD9CF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7.1事故报告（5分）</w:t>
            </w:r>
          </w:p>
        </w:tc>
        <w:tc>
          <w:tcPr>
            <w:tcW w:w="6431" w:type="dxa"/>
            <w:tcBorders>
              <w:top w:val="nil"/>
              <w:left w:val="nil"/>
              <w:bottom w:val="single" w:color="auto" w:sz="4" w:space="0"/>
              <w:right w:val="single" w:color="auto" w:sz="4" w:space="0"/>
            </w:tcBorders>
            <w:noWrap w:val="0"/>
            <w:vAlign w:val="center"/>
          </w:tcPr>
          <w:p w14:paraId="4DC8E5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7.1.1事故报告（5分）</w:t>
            </w:r>
          </w:p>
        </w:tc>
      </w:tr>
      <w:tr w14:paraId="346852C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E2E6765">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76078FF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7.2事故调查和处理（10分）</w:t>
            </w:r>
          </w:p>
        </w:tc>
        <w:tc>
          <w:tcPr>
            <w:tcW w:w="6431" w:type="dxa"/>
            <w:tcBorders>
              <w:top w:val="nil"/>
              <w:left w:val="nil"/>
              <w:bottom w:val="single" w:color="auto" w:sz="4" w:space="0"/>
              <w:right w:val="single" w:color="auto" w:sz="4" w:space="0"/>
            </w:tcBorders>
            <w:noWrap w:val="0"/>
            <w:vAlign w:val="center"/>
          </w:tcPr>
          <w:p w14:paraId="2DEC6A9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7.2.1事故调查和处理（10分）</w:t>
            </w:r>
          </w:p>
        </w:tc>
      </w:tr>
      <w:tr w14:paraId="1D31C37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860B007">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3846EE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7.3事故档案管理（5分）</w:t>
            </w:r>
          </w:p>
        </w:tc>
        <w:tc>
          <w:tcPr>
            <w:tcW w:w="6431" w:type="dxa"/>
            <w:tcBorders>
              <w:top w:val="nil"/>
              <w:left w:val="nil"/>
              <w:bottom w:val="single" w:color="auto" w:sz="4" w:space="0"/>
              <w:right w:val="single" w:color="auto" w:sz="4" w:space="0"/>
            </w:tcBorders>
            <w:noWrap w:val="0"/>
            <w:vAlign w:val="center"/>
          </w:tcPr>
          <w:p w14:paraId="7CEE9B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7.3.1事故档案管理（5分）</w:t>
            </w:r>
          </w:p>
        </w:tc>
      </w:tr>
      <w:tr w14:paraId="0E82B115">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7335F4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8.持续改进（20分）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79AE0D6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8.1绩效评定（15分）</w:t>
            </w:r>
          </w:p>
        </w:tc>
        <w:tc>
          <w:tcPr>
            <w:tcW w:w="6431" w:type="dxa"/>
            <w:tcBorders>
              <w:top w:val="nil"/>
              <w:left w:val="nil"/>
              <w:bottom w:val="single" w:color="auto" w:sz="4" w:space="0"/>
              <w:right w:val="single" w:color="auto" w:sz="4" w:space="0"/>
            </w:tcBorders>
            <w:noWrap w:val="0"/>
            <w:vAlign w:val="center"/>
          </w:tcPr>
          <w:p w14:paraId="539A3A4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8.1.1绩效评定（5分）</w:t>
            </w:r>
          </w:p>
        </w:tc>
      </w:tr>
      <w:tr w14:paraId="31514EF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C8B6C1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923B57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CAF3F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8.1.2评定结果应用（10分）</w:t>
            </w:r>
          </w:p>
        </w:tc>
      </w:tr>
      <w:tr w14:paraId="68A3485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7C58A97">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FF3175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8.2持续改进（5分）</w:t>
            </w:r>
          </w:p>
        </w:tc>
        <w:tc>
          <w:tcPr>
            <w:tcW w:w="6431" w:type="dxa"/>
            <w:tcBorders>
              <w:top w:val="nil"/>
              <w:left w:val="nil"/>
              <w:bottom w:val="single" w:color="auto" w:sz="4" w:space="0"/>
              <w:right w:val="single" w:color="auto" w:sz="4" w:space="0"/>
            </w:tcBorders>
            <w:noWrap w:val="0"/>
            <w:vAlign w:val="center"/>
          </w:tcPr>
          <w:p w14:paraId="369B05F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8.2.1持续改进（5分）</w:t>
            </w:r>
          </w:p>
        </w:tc>
      </w:tr>
    </w:tbl>
    <w:p w14:paraId="3DBC9862">
      <w:pPr>
        <w:spacing w:line="360" w:lineRule="auto"/>
        <w:jc w:val="left"/>
        <w:rPr>
          <w:rFonts w:hint="default" w:ascii="Times New Roman" w:hAnsi="Times New Roman" w:cs="Times New Roman"/>
        </w:rPr>
      </w:pPr>
    </w:p>
    <w:p w14:paraId="63519390">
      <w:pPr>
        <w:spacing w:line="360" w:lineRule="auto"/>
        <w:jc w:val="left"/>
        <w:rPr>
          <w:rFonts w:hint="default" w:ascii="Times New Roman" w:hAnsi="Times New Roman" w:cs="Times New Roman"/>
        </w:rPr>
      </w:pPr>
    </w:p>
    <w:p w14:paraId="2FC213C2">
      <w:pPr>
        <w:pStyle w:val="16"/>
        <w:spacing w:before="120" w:after="60"/>
        <w:rPr>
          <w:rFonts w:hint="default" w:ascii="Times New Roman" w:hAnsi="Times New Roman" w:cs="Times New Roman"/>
        </w:rPr>
      </w:pPr>
      <w:r>
        <w:rPr>
          <w:rFonts w:hint="default" w:ascii="Times New Roman" w:hAnsi="Times New Roman" w:cs="Times New Roman"/>
        </w:rPr>
        <w:t>附表2  小型水电站安全生产标准化赋分细则</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5869"/>
        <w:gridCol w:w="909"/>
        <w:gridCol w:w="5580"/>
      </w:tblGrid>
      <w:tr w14:paraId="408E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4C4B1EF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1. 目标职责（60分）</w:t>
            </w:r>
          </w:p>
        </w:tc>
      </w:tr>
      <w:tr w14:paraId="6F09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490" w:type="dxa"/>
            <w:noWrap w:val="0"/>
            <w:vAlign w:val="center"/>
          </w:tcPr>
          <w:p w14:paraId="7529BFD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537BB1B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6C5E815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F14F23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4785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171BFF7B">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1.1目标（15分）</w:t>
            </w:r>
          </w:p>
        </w:tc>
        <w:tc>
          <w:tcPr>
            <w:tcW w:w="5869" w:type="dxa"/>
            <w:noWrap w:val="0"/>
            <w:vAlign w:val="center"/>
          </w:tcPr>
          <w:p w14:paraId="32E5122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1.1.1目标制定并分解</w:t>
            </w:r>
          </w:p>
          <w:p w14:paraId="76A90A2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制定包含安全生产总目标的中长期安全生产规划和包含年度目标的安全生产工作计划。安全生产目标应包括生产安全事故控制、生产安全事故隐患排查治理、职业健康、安全生产管理等目标，以文件形式下达。</w:t>
            </w:r>
          </w:p>
          <w:p w14:paraId="5CF3C2C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生产总目标包括但不限于：杜绝特大事故、无重大事故、无人身伤亡事故、无重大环境事故。年度安全生产目标包括但不限于：连续安全运行天数、“两票”合格率、设备事故率（次/台套年）、误操作次数、事故隐患处理率、职工健康水平、事故率（次数）。</w:t>
            </w:r>
          </w:p>
          <w:p w14:paraId="126E7732">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年度安全生产目标应根据部门（单位）在安全生产中的职能做合理分解，目标宜量化为指标。逐级签订年度目标安全生产责任书，并制定目标保证措施。目标责任书应明确单位目标职责、保证措施、承诺、奖罚等内容</w:t>
            </w:r>
          </w:p>
        </w:tc>
        <w:tc>
          <w:tcPr>
            <w:tcW w:w="909" w:type="dxa"/>
            <w:noWrap w:val="0"/>
            <w:vAlign w:val="center"/>
          </w:tcPr>
          <w:p w14:paraId="6416A83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79DAE04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查相关规划、计划和文件。</w:t>
            </w:r>
          </w:p>
          <w:p w14:paraId="621D27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未制定相关目标规划、计划，或目标未以文件下达，扣5分；目标制定不全，每缺一项扣1分。</w:t>
            </w:r>
          </w:p>
          <w:p w14:paraId="4D23A3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目标未分解，扣2分；目标分解不全，每缺一个部门或单位（厂级、部门、班组）扣1分；目标分解与职能不符，每项扣1分。</w:t>
            </w:r>
          </w:p>
          <w:p w14:paraId="172806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未签订安全生产责任书，扣5分；安全生产</w:t>
            </w:r>
            <w:r>
              <w:rPr>
                <w:rFonts w:hint="default" w:ascii="Times New Roman" w:hAnsi="Times New Roman" w:eastAsia="仿宋_GB2312" w:cs="Times New Roman"/>
                <w:spacing w:val="-10"/>
                <w:sz w:val="28"/>
                <w:szCs w:val="28"/>
              </w:rPr>
              <w:t>责任书签订不全，每缺一个部门、岗位扣1分；</w:t>
            </w:r>
            <w:r>
              <w:rPr>
                <w:rFonts w:hint="default" w:ascii="Times New Roman" w:hAnsi="Times New Roman" w:eastAsia="仿宋_GB2312" w:cs="Times New Roman"/>
                <w:sz w:val="28"/>
                <w:szCs w:val="28"/>
              </w:rPr>
              <w:t>安全生产责任书内容与安全生产职责不符，每项扣1分。</w:t>
            </w:r>
          </w:p>
          <w:p w14:paraId="2EAF8D9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未制定目标保证措施，扣5分；措施不合理，每处（部门/</w:t>
            </w:r>
            <w:r>
              <w:rPr>
                <w:rFonts w:hint="default" w:ascii="Times New Roman" w:hAnsi="Times New Roman" w:eastAsia="仿宋_GB2312" w:cs="Times New Roman"/>
                <w:spacing w:val="-10"/>
                <w:sz w:val="28"/>
                <w:szCs w:val="28"/>
              </w:rPr>
              <w:t>岗位</w:t>
            </w:r>
            <w:r>
              <w:rPr>
                <w:rFonts w:hint="default" w:ascii="Times New Roman" w:hAnsi="Times New Roman" w:eastAsia="仿宋_GB2312" w:cs="Times New Roman"/>
                <w:sz w:val="28"/>
                <w:szCs w:val="28"/>
              </w:rPr>
              <w:t>）扣1分</w:t>
            </w:r>
          </w:p>
        </w:tc>
      </w:tr>
      <w:tr w14:paraId="4111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0ABAD5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52C839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1.1.2目标评估与考核</w:t>
            </w:r>
          </w:p>
          <w:p w14:paraId="77A9876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每年年中、年末对安全生产目标完成情况进行检查、考核、评估，根据结果进行奖惩，必要时及时调整安全生产目标实施计划</w:t>
            </w:r>
          </w:p>
        </w:tc>
        <w:tc>
          <w:tcPr>
            <w:tcW w:w="909" w:type="dxa"/>
            <w:noWrap w:val="0"/>
            <w:vAlign w:val="center"/>
          </w:tcPr>
          <w:p w14:paraId="31DF687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47683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7C0D2B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未定期检查、考核、评估、奖惩，扣5分。</w:t>
            </w:r>
          </w:p>
          <w:p w14:paraId="4AE9DFB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检查、考核、评估的部门或岗位不全，每缺一个扣1分。</w:t>
            </w:r>
          </w:p>
          <w:p w14:paraId="38FDB0BF">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必要时未根据检查、考核、评估结果及时调整目标实施计划，扣2分</w:t>
            </w:r>
          </w:p>
        </w:tc>
      </w:tr>
      <w:tr w14:paraId="7710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4C7E629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1.2机构和职责（15分）</w:t>
            </w:r>
          </w:p>
        </w:tc>
        <w:tc>
          <w:tcPr>
            <w:tcW w:w="5869" w:type="dxa"/>
            <w:noWrap w:val="0"/>
            <w:vAlign w:val="center"/>
          </w:tcPr>
          <w:p w14:paraId="3B6915C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1.2.1安全生产机构和人员</w:t>
            </w:r>
          </w:p>
          <w:p w14:paraId="1C59F3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成立由单位主要负责人、其他领导班子成员和有关部门负责人等组成的安全生产领导机构（安全生产委员会或安全生产领导小组）并以正式文件发布，人员变化时及时调整发布。</w:t>
            </w:r>
          </w:p>
          <w:p w14:paraId="7C2F2B67">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设置或明确安全生产管理机构或配备专（兼）职安全生产管理人员，建立健全从安全生产管理机构到基层的安全生产管理网络</w:t>
            </w:r>
          </w:p>
        </w:tc>
        <w:tc>
          <w:tcPr>
            <w:tcW w:w="909" w:type="dxa"/>
            <w:noWrap w:val="0"/>
            <w:vAlign w:val="center"/>
          </w:tcPr>
          <w:p w14:paraId="1FA3801B">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0FDD78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w:t>
            </w:r>
          </w:p>
          <w:p w14:paraId="2DB3A05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安全生产领导机构未成立或未以正式文件发布，扣5分；成员结构不全，每缺一个层级扣1分；人员发生变化，未在5个工作日内调整发布，每次扣2分。</w:t>
            </w:r>
          </w:p>
          <w:p w14:paraId="57A39C4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安全生产管理机构未按规定设置或明确，扣5分；安全生产管理人员配备不全，每少一人扣2分；人员不符合要求，每人扣2分</w:t>
            </w:r>
          </w:p>
        </w:tc>
      </w:tr>
      <w:tr w14:paraId="6536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433A76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365C93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1.2.2安全生产责任制</w:t>
            </w:r>
          </w:p>
          <w:p w14:paraId="7898FC4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主要负责人全面负责安全生产和职业健康工作；分管负责人应对各自职责范围内的安全生产和职业健康工作负责；各级管理人员对各自岗位的安全生产和职业健康负责</w:t>
            </w:r>
          </w:p>
        </w:tc>
        <w:tc>
          <w:tcPr>
            <w:tcW w:w="909" w:type="dxa"/>
            <w:noWrap w:val="0"/>
            <w:vAlign w:val="center"/>
          </w:tcPr>
          <w:p w14:paraId="36F033F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B355F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查制度文本、履职记录。</w:t>
            </w:r>
          </w:p>
          <w:p w14:paraId="66214CB5">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未明确部门和岗位职责，扣5分。</w:t>
            </w:r>
          </w:p>
          <w:p w14:paraId="2D8A0E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履职记录与制度或安全生产岗位职责不符，每人次扣2分。</w:t>
            </w:r>
          </w:p>
          <w:p w14:paraId="3BEB9D4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相关责任人未各负其责，每人次扣2分</w:t>
            </w:r>
          </w:p>
        </w:tc>
      </w:tr>
      <w:tr w14:paraId="43D7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32FEBD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38F9836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1.2.3安全生产会议</w:t>
            </w:r>
          </w:p>
          <w:p w14:paraId="0911813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生产领导机构每季度至少召开一次安全生产会议；安全生产管理机构每个月至少召开一次安全生产会议，研究解决安全生产工作中的重大问题，跟踪落实上次会议要求，总结分析本单位的安全生产状况，评估本单位存在的风险，落实问题整改意见并形成会议纪要</w:t>
            </w:r>
          </w:p>
        </w:tc>
        <w:tc>
          <w:tcPr>
            <w:tcW w:w="909" w:type="dxa"/>
            <w:noWrap w:val="0"/>
            <w:vAlign w:val="center"/>
          </w:tcPr>
          <w:p w14:paraId="4810404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C00FE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A06AA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会议频次不够，每少一次扣2分。</w:t>
            </w:r>
          </w:p>
          <w:p w14:paraId="5D8459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重大问题未经安全生产领导机构研究解决，每项扣1分。</w:t>
            </w:r>
          </w:p>
          <w:p w14:paraId="7CA8AAB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未跟踪落实会议要求、未落实问题整改意见，每次扣1分。</w:t>
            </w:r>
          </w:p>
          <w:p w14:paraId="30F3D6B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未形成会议纪要，每次扣1分</w:t>
            </w:r>
          </w:p>
        </w:tc>
      </w:tr>
      <w:tr w14:paraId="2E4D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057A6D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1.3全员</w:t>
            </w:r>
          </w:p>
          <w:p w14:paraId="3A612E4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参与（5分）</w:t>
            </w:r>
          </w:p>
        </w:tc>
        <w:tc>
          <w:tcPr>
            <w:tcW w:w="5869" w:type="dxa"/>
            <w:noWrap w:val="0"/>
            <w:vAlign w:val="center"/>
          </w:tcPr>
          <w:p w14:paraId="4498AD4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1.3.1全员参与</w:t>
            </w:r>
          </w:p>
          <w:p w14:paraId="0B5A2C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每年年中、年末对部门和从业人员的安全生产职责的适宜性、履职情况进行评估和监督考核。</w:t>
            </w:r>
          </w:p>
          <w:p w14:paraId="2DA8FFD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建立激励约束机制，鼓励从业人员积极建言献策</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发现和排除事故隐患，建言献策、发现和排除事故隐患有功的应给予回复和奖励</w:t>
            </w:r>
          </w:p>
        </w:tc>
        <w:tc>
          <w:tcPr>
            <w:tcW w:w="909" w:type="dxa"/>
            <w:noWrap w:val="0"/>
            <w:vAlign w:val="center"/>
          </w:tcPr>
          <w:p w14:paraId="33FE98DD">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5C9118E">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查相关文件、记录并现场抽查。</w:t>
            </w:r>
          </w:p>
          <w:p w14:paraId="4B726ECC">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未定期进行评估和监督考核，扣5分；评估和监督考核不全，每缺一个部门或个人扣1分；对自身的安全职责不清楚，每人次扣1分。</w:t>
            </w:r>
          </w:p>
          <w:p w14:paraId="1AA5104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未建立激励约束机制，扣2分；未对建言献策等给予回复和奖励，每少一次扣1分</w:t>
            </w:r>
          </w:p>
        </w:tc>
      </w:tr>
      <w:tr w14:paraId="61C0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48C4BC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1.4安全生产投入（15分）</w:t>
            </w:r>
          </w:p>
        </w:tc>
        <w:tc>
          <w:tcPr>
            <w:tcW w:w="5869" w:type="dxa"/>
            <w:noWrap w:val="0"/>
            <w:vAlign w:val="center"/>
          </w:tcPr>
          <w:p w14:paraId="7B9D44C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1.4.1安全生产投入</w:t>
            </w:r>
          </w:p>
          <w:p w14:paraId="0535E4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按规定足额提取和使用安全生产费用，每年应编制使用计划，建立使用台账。</w:t>
            </w:r>
          </w:p>
          <w:p w14:paraId="4E297C2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每年对安全生产资金的落实情况进行检查、总结和考核，并以适当方式公开安全生产费用提取和使用情况。</w:t>
            </w:r>
          </w:p>
          <w:p w14:paraId="019ABE91">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按规定为从业人员及时办理工伤等相关保险</w:t>
            </w:r>
          </w:p>
        </w:tc>
        <w:tc>
          <w:tcPr>
            <w:tcW w:w="909" w:type="dxa"/>
            <w:noWrap w:val="0"/>
            <w:vAlign w:val="center"/>
          </w:tcPr>
          <w:p w14:paraId="0F8C739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15</w:t>
            </w:r>
          </w:p>
        </w:tc>
        <w:tc>
          <w:tcPr>
            <w:tcW w:w="5580" w:type="dxa"/>
            <w:noWrap w:val="0"/>
            <w:vAlign w:val="center"/>
          </w:tcPr>
          <w:p w14:paraId="31644902">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573AC006">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未按规定足额提取安全生产费用或投入不足，扣5分。</w:t>
            </w:r>
          </w:p>
          <w:p w14:paraId="6FE7D96D">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未按规定使用安全生产费用，每处扣2分；未编制使用计划、未建立安全生产费用使用台账，扣5分；台账不全，每缺一项扣1分。</w:t>
            </w:r>
          </w:p>
          <w:p w14:paraId="7FC52483">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每年未对安全生产资金的落实情况进行检查、考核和总结，扣5分；未公开安全生产费用提取和使用情况，扣2分。</w:t>
            </w:r>
          </w:p>
          <w:p w14:paraId="74A0B632">
            <w:pPr>
              <w:widowControl/>
              <w:ind w:firstLine="560" w:firstLineChars="200"/>
              <w:rPr>
                <w:rFonts w:hint="default" w:ascii="Times New Roman" w:hAnsi="Times New Roman" w:eastAsia="仿宋_GB2312" w:cs="Times New Roman"/>
                <w:b/>
                <w:bCs/>
                <w:kern w:val="0"/>
                <w:szCs w:val="28"/>
              </w:rPr>
            </w:pPr>
            <w:r>
              <w:rPr>
                <w:rFonts w:hint="default" w:ascii="Times New Roman" w:hAnsi="Times New Roman" w:eastAsia="仿宋_GB2312" w:cs="Times New Roman"/>
                <w:sz w:val="28"/>
                <w:szCs w:val="28"/>
              </w:rPr>
              <w:t>未为从业人员办理相关保险，扣5分；参保人员不全，每缺一人扣1分</w:t>
            </w:r>
          </w:p>
        </w:tc>
      </w:tr>
      <w:tr w14:paraId="1AB9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8BC693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1.5安全文化建设（5分）</w:t>
            </w:r>
          </w:p>
        </w:tc>
        <w:tc>
          <w:tcPr>
            <w:tcW w:w="5869" w:type="dxa"/>
            <w:noWrap w:val="0"/>
            <w:vAlign w:val="center"/>
          </w:tcPr>
          <w:p w14:paraId="6E38CA9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1.5.1安全文化建设</w:t>
            </w:r>
          </w:p>
          <w:p w14:paraId="573FCF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根据安全文化建设需要，确立本单位安全生产和职业病危害防治理念及行为准则，并教育、引导全体人员贯彻执行。</w:t>
            </w:r>
          </w:p>
          <w:p w14:paraId="0A99F15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有计划地开展安全文化建设活动。安全文化建设活动应符合AQ/T 9004的规定</w:t>
            </w:r>
          </w:p>
        </w:tc>
        <w:tc>
          <w:tcPr>
            <w:tcW w:w="909" w:type="dxa"/>
            <w:noWrap w:val="0"/>
            <w:vAlign w:val="center"/>
          </w:tcPr>
          <w:p w14:paraId="438853C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06561BD5">
            <w:pPr>
              <w:widowControl/>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E11F9F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未确立理念或行为准则，或未教育、引导全体人员贯彻执行，扣5分；未履行安全承诺，扣1分；未面向周边群众开展安全文化宣传，扣1分。</w:t>
            </w:r>
          </w:p>
          <w:p w14:paraId="57C8C8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未开展安全文化建设活动，扣5分。</w:t>
            </w:r>
          </w:p>
          <w:p w14:paraId="45BDDF8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安全文化建设活动不符合AQ/T 9004的规定，扣5分；未按计划实施，每项扣2分</w:t>
            </w:r>
          </w:p>
        </w:tc>
      </w:tr>
      <w:tr w14:paraId="5954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0" w:type="dxa"/>
            <w:noWrap w:val="0"/>
            <w:vAlign w:val="center"/>
          </w:tcPr>
          <w:p w14:paraId="74A9891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1.6安全生产信息化建设（5分）</w:t>
            </w:r>
          </w:p>
        </w:tc>
        <w:tc>
          <w:tcPr>
            <w:tcW w:w="5869" w:type="dxa"/>
            <w:noWrap w:val="0"/>
            <w:vAlign w:val="center"/>
          </w:tcPr>
          <w:p w14:paraId="6F675A8A">
            <w:pPr>
              <w:adjustRightInd w:val="0"/>
              <w:snapToGrid w:val="0"/>
              <w:rPr>
                <w:rFonts w:hint="default" w:ascii="Times New Roman" w:hAnsi="Times New Roman" w:eastAsia="仿宋_GB2312" w:cs="Times New Roman"/>
                <w:sz w:val="28"/>
                <w:szCs w:val="28"/>
              </w:rPr>
            </w:pPr>
            <w:bookmarkStart w:id="1" w:name="_Hlk152508264"/>
            <w:r>
              <w:rPr>
                <w:rFonts w:hint="default" w:ascii="Times New Roman" w:hAnsi="Times New Roman" w:eastAsia="仿宋_GB2312" w:cs="Times New Roman"/>
                <w:sz w:val="28"/>
                <w:szCs w:val="28"/>
              </w:rPr>
              <w:t>1.6.1安全生产信息化</w:t>
            </w:r>
          </w:p>
          <w:bookmarkEnd w:id="1"/>
          <w:p w14:paraId="3F3794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根据实际情况，建立安全生产日常管理、职业病危害防治、重大危险源监控、安全风险管控、隐患排查治理、预测预警、应急管理、事故管理等</w:t>
            </w:r>
            <w:bookmarkStart w:id="2" w:name="OLE_LINK1"/>
            <w:r>
              <w:rPr>
                <w:rFonts w:hint="default" w:ascii="Times New Roman" w:hAnsi="Times New Roman" w:eastAsia="仿宋_GB2312" w:cs="Times New Roman"/>
                <w:sz w:val="28"/>
                <w:szCs w:val="28"/>
              </w:rPr>
              <w:t>电子台账或</w:t>
            </w:r>
            <w:bookmarkEnd w:id="2"/>
            <w:r>
              <w:rPr>
                <w:rFonts w:hint="default" w:ascii="Times New Roman" w:hAnsi="Times New Roman" w:eastAsia="仿宋_GB2312" w:cs="Times New Roman"/>
                <w:sz w:val="28"/>
                <w:szCs w:val="28"/>
              </w:rPr>
              <w:t>信息系统，利用信息化手段加强安全生产管理工作。</w:t>
            </w:r>
          </w:p>
          <w:p w14:paraId="567C274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按规定通过水利安全生产监管信息系统报送本单位安全信息</w:t>
            </w:r>
          </w:p>
        </w:tc>
        <w:tc>
          <w:tcPr>
            <w:tcW w:w="909" w:type="dxa"/>
            <w:noWrap w:val="0"/>
            <w:vAlign w:val="center"/>
          </w:tcPr>
          <w:p w14:paraId="7E00675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CE2AEBE">
            <w:pPr>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查电子台账和相关系统。</w:t>
            </w:r>
          </w:p>
          <w:p w14:paraId="601709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未建立电子台账或管理信息系统，扣5分。</w:t>
            </w:r>
          </w:p>
          <w:p w14:paraId="6F2161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仅建立电子台账，扣3分；电子台账或信息系统功能不全，每缺一项扣2分。</w:t>
            </w:r>
          </w:p>
          <w:p w14:paraId="378037A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未按规定报送安全信息，扣5分</w:t>
            </w:r>
          </w:p>
        </w:tc>
      </w:tr>
      <w:tr w14:paraId="23F6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90" w:type="dxa"/>
            <w:noWrap w:val="0"/>
            <w:vAlign w:val="center"/>
          </w:tcPr>
          <w:p w14:paraId="16B7A4A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47944A9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07DD81A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60</w:t>
            </w:r>
          </w:p>
        </w:tc>
        <w:tc>
          <w:tcPr>
            <w:tcW w:w="5580" w:type="dxa"/>
            <w:noWrap w:val="0"/>
            <w:vAlign w:val="center"/>
          </w:tcPr>
          <w:p w14:paraId="0711696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r>
      <w:tr w14:paraId="276C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5FF2CEA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2. 制度化管理（70分）</w:t>
            </w:r>
          </w:p>
        </w:tc>
      </w:tr>
      <w:tr w14:paraId="4F4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5889804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3DDFBA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34E4A35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9118B6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3D84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1B93A0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2.1法规标准识别（5分）</w:t>
            </w:r>
          </w:p>
        </w:tc>
        <w:tc>
          <w:tcPr>
            <w:tcW w:w="5869" w:type="dxa"/>
            <w:noWrap w:val="0"/>
            <w:vAlign w:val="center"/>
          </w:tcPr>
          <w:p w14:paraId="5FB0999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2.1.1法规标准识别配备</w:t>
            </w:r>
          </w:p>
          <w:p w14:paraId="48AAFA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明确法规标准识别归口管理部门（生技部或办公室等），及时识别和获取适用的安全生产法律法规、部门规章和标准规范，识别获取后一个月内向员工传达并配备，年内及时组织员工学习。识别和获取适用的安全生产法律法规、标准规范包括但不限于：</w:t>
            </w:r>
          </w:p>
          <w:p w14:paraId="4EBF65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 《中华人民共和国安全生产法》；</w:t>
            </w:r>
          </w:p>
          <w:p w14:paraId="1EDD2CE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 《中华人民共和国防洪法》；</w:t>
            </w:r>
          </w:p>
          <w:p w14:paraId="69FB45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 《中华人民共和国特种设备安全法》；</w:t>
            </w:r>
          </w:p>
          <w:p w14:paraId="0C61A92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 《生产安全事故报告和调查处理条例》</w:t>
            </w:r>
          </w:p>
          <w:p w14:paraId="00F7F7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 《职业健康监护管理办法》；</w:t>
            </w:r>
          </w:p>
          <w:p w14:paraId="3B1EB93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 《生产安全事故应急预案管理办法》；</w:t>
            </w:r>
          </w:p>
          <w:p w14:paraId="2717DA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 《企业安全生产标准化基本规范》（GB/T 33000）；</w:t>
            </w:r>
          </w:p>
          <w:p w14:paraId="3B6CBC8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 《水利安全生产标准化通用规范》（SL/T 789）；</w:t>
            </w:r>
          </w:p>
          <w:p w14:paraId="5BE4AEB2">
            <w:pPr>
              <w:adjustRightInd w:val="0"/>
              <w:snapToGrid w:val="0"/>
              <w:ind w:firstLine="560"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z w:val="28"/>
                <w:szCs w:val="28"/>
              </w:rPr>
              <w:t>9. 《电力安全工作规程 发电厂和变电站电气部分》（GB 26860）；</w:t>
            </w:r>
          </w:p>
          <w:p w14:paraId="276F276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 《小型水电站技术管理规程》（SL/T  529）</w:t>
            </w:r>
          </w:p>
          <w:p w14:paraId="7BE48DD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 《小型水电站运行维护技术规范》（GB/T 50964）；</w:t>
            </w:r>
          </w:p>
          <w:p w14:paraId="1CD241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 《小型水电站安全检测与评价规范》（GB/T 50876）；</w:t>
            </w:r>
          </w:p>
          <w:p w14:paraId="4578CF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 《电力设备预防性试验规程》（DL/T 596）；</w:t>
            </w:r>
          </w:p>
          <w:p w14:paraId="1CA1786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 《图形符号 安全色和安全标志》（GB/T 2893）；</w:t>
            </w:r>
          </w:p>
          <w:p w14:paraId="18F610A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 《安全标志及其使用导则》（GB 2894）；</w:t>
            </w:r>
          </w:p>
          <w:p w14:paraId="15EED4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16. 《工作场所职业病危害警示标识》（GBZ 158）；</w:t>
            </w:r>
          </w:p>
          <w:p w14:paraId="209302A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17. 《工业企业设计卫生标准》（GBZ 1）；</w:t>
            </w:r>
          </w:p>
          <w:p w14:paraId="6DAA9B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18. 《职业健康监护技术规范》（GBZ 188）；</w:t>
            </w:r>
          </w:p>
          <w:p w14:paraId="11DA15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19. 《个体防护装备配备规范 第1部分：总则》（GB 39800.1）；</w:t>
            </w:r>
          </w:p>
          <w:p w14:paraId="100AA1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 《生产经营单位生产安全事故应急预案编制导则》（GB/T 29639）；</w:t>
            </w:r>
          </w:p>
          <w:p w14:paraId="5982D99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21. 《生产安全事故应急演练基本规范》（AQ/T 9007）；</w:t>
            </w:r>
          </w:p>
          <w:p w14:paraId="1887261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22. 《生产安全事故应急演练评估规范》（AQ/T 9009）</w:t>
            </w:r>
          </w:p>
        </w:tc>
        <w:tc>
          <w:tcPr>
            <w:tcW w:w="909" w:type="dxa"/>
            <w:noWrap w:val="0"/>
            <w:vAlign w:val="center"/>
          </w:tcPr>
          <w:p w14:paraId="4468CBF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406680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4D847A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未明确归口管理部门，扣2分。</w:t>
            </w:r>
          </w:p>
          <w:p w14:paraId="7CD037F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未进行识别，扣5分；识别有缺项或识别后未获取，每缺一项扣2分。</w:t>
            </w:r>
          </w:p>
          <w:p w14:paraId="6FD5272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法律法规、标准规范失效后未及时更新，每项扣2分。</w:t>
            </w:r>
          </w:p>
          <w:p w14:paraId="0B19DB2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未及时传达或配备，每次扣2分；传达或配备不到位，每少一人扣1分</w:t>
            </w:r>
          </w:p>
        </w:tc>
      </w:tr>
      <w:tr w14:paraId="2059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1" w:hRule="atLeast"/>
          <w:jc w:val="center"/>
        </w:trPr>
        <w:tc>
          <w:tcPr>
            <w:tcW w:w="1490" w:type="dxa"/>
            <w:noWrap w:val="0"/>
            <w:vAlign w:val="center"/>
          </w:tcPr>
          <w:p w14:paraId="7A4D01F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2.2规章制度（25分）</w:t>
            </w:r>
          </w:p>
        </w:tc>
        <w:tc>
          <w:tcPr>
            <w:tcW w:w="5869" w:type="dxa"/>
            <w:noWrap w:val="0"/>
            <w:vAlign w:val="center"/>
          </w:tcPr>
          <w:p w14:paraId="0F45BD4E">
            <w:pPr>
              <w:adjustRightInd w:val="0"/>
              <w:snapToGrid w:val="0"/>
              <w:rPr>
                <w:rFonts w:hint="default" w:ascii="Times New Roman" w:hAnsi="Times New Roman" w:eastAsia="仿宋_GB2312" w:cs="Times New Roman"/>
                <w:sz w:val="28"/>
                <w:szCs w:val="28"/>
              </w:rPr>
            </w:pPr>
            <w:bookmarkStart w:id="3" w:name="_Hlk152507730"/>
            <w:r>
              <w:rPr>
                <w:rFonts w:hint="default" w:ascii="Times New Roman" w:hAnsi="Times New Roman" w:eastAsia="仿宋_GB2312" w:cs="Times New Roman"/>
                <w:sz w:val="28"/>
                <w:szCs w:val="28"/>
              </w:rPr>
              <w:t>2.2.1安全生产规章制度</w:t>
            </w:r>
            <w:bookmarkEnd w:id="3"/>
            <w:r>
              <w:rPr>
                <w:rFonts w:hint="default" w:ascii="Times New Roman" w:hAnsi="Times New Roman" w:eastAsia="仿宋_GB2312" w:cs="Times New Roman"/>
                <w:sz w:val="28"/>
                <w:szCs w:val="28"/>
              </w:rPr>
              <w:t>建设</w:t>
            </w:r>
          </w:p>
          <w:p w14:paraId="5DDA43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根据识别、获取的安全生产法律法规、</w:t>
            </w:r>
            <w:r>
              <w:rPr>
                <w:rFonts w:hint="default" w:ascii="Times New Roman" w:hAnsi="Times New Roman" w:eastAsia="仿宋_GB2312" w:cs="Times New Roman"/>
                <w:sz w:val="28"/>
                <w:szCs w:val="28"/>
                <w:lang w:val="en-US" w:eastAsia="zh-CN"/>
              </w:rPr>
              <w:t>部门</w:t>
            </w:r>
            <w:r>
              <w:rPr>
                <w:rFonts w:hint="default" w:ascii="Times New Roman" w:hAnsi="Times New Roman" w:eastAsia="仿宋_GB2312" w:cs="Times New Roman"/>
                <w:sz w:val="28"/>
                <w:szCs w:val="28"/>
              </w:rPr>
              <w:t>规章和标准</w:t>
            </w:r>
            <w:r>
              <w:rPr>
                <w:rFonts w:hint="default" w:ascii="Times New Roman" w:hAnsi="Times New Roman" w:eastAsia="仿宋_GB2312" w:cs="Times New Roman"/>
                <w:sz w:val="28"/>
                <w:szCs w:val="28"/>
                <w:lang w:val="en-US" w:eastAsia="zh-CN"/>
              </w:rPr>
              <w:t>规范</w:t>
            </w:r>
            <w:r>
              <w:rPr>
                <w:rFonts w:hint="default" w:ascii="Times New Roman" w:hAnsi="Times New Roman" w:eastAsia="仿宋_GB2312" w:cs="Times New Roman"/>
                <w:sz w:val="28"/>
                <w:szCs w:val="28"/>
              </w:rPr>
              <w:t>，制定本单位安全生产规章制度，并及时发放到相关部门或工作岗位。所需安全生产规章制度及其内容包括但不限于：</w:t>
            </w:r>
          </w:p>
          <w:p w14:paraId="108D9D6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 安全生产目标管理制度。应明确目标的制定、分解、实施、检查、考核等内容。</w:t>
            </w:r>
          </w:p>
          <w:p w14:paraId="25578A9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 安全生产和职业健康责任制度（含安全生产承诺制度）。应明确组织机构、责任和义务、防护或保障措施等内容。</w:t>
            </w:r>
          </w:p>
          <w:p w14:paraId="5BC9EF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 安全生产费用管理制度。应明确安全生产费用的提取、使用程序、职责和权限等内容。</w:t>
            </w:r>
          </w:p>
          <w:p w14:paraId="322FC73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 运行管理制度（含操作票、工作票、交接班、设备巡回检查、设备定期试验轮换制度、水工运行管理制度等）。</w:t>
            </w:r>
          </w:p>
          <w:p w14:paraId="3D24D5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 设备设施管理制度。应明确职责、适用范围、管理原则、管理内容及要求等内容。</w:t>
            </w:r>
          </w:p>
          <w:p w14:paraId="1E7AEC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 检修管理制度。应明确职责、工作范围、工作内容、工作要求等内容。</w:t>
            </w:r>
          </w:p>
          <w:p w14:paraId="17E3644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 新工艺、新技术、新材料、新设备管理制度。应明确适用范围、管理职责、管理内容与要求等内容。</w:t>
            </w:r>
          </w:p>
          <w:p w14:paraId="4D81F5C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 文件、记录和档案管理制度。应明确安全生产法律法规、标准规范的管理部门、识别、获取、评审、更新等内容，安全生产规章制度与规程编制、评审、发布、使用、修订、作废以及文件和记录管理的职责、程序和要求等内容，档案管理职责及档案的收集、整理、标识、保管、使用和处置等内容。</w:t>
            </w:r>
          </w:p>
          <w:p w14:paraId="5FACFE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 安全教育培训制度。应明确归口管理部门、教育培训需求识别、培训对象与内容、组织与管理、检查和考核等内容。</w:t>
            </w:r>
          </w:p>
          <w:p w14:paraId="081D122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 特种作业人员管理制度。应明确适用范围、岗位界定、应具备的条件、培训及取证管理、档案管理、使用管理、考核等内容。</w:t>
            </w:r>
          </w:p>
          <w:p w14:paraId="6FAF23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 消防安全管理制度、动火审批制度。应明确消防设施及器材台账管理要求、消防培训和演练要求等内容。</w:t>
            </w:r>
          </w:p>
          <w:p w14:paraId="238B2D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 职业健康和劳动保护管理制度。应明确水电站涉及职业危害的作业环境、工作条件和危害因素，提出劳动防护用品和职业病防护设施等具体要求和管理规定等。</w:t>
            </w:r>
          </w:p>
          <w:p w14:paraId="2309198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 防洪度汛安全管理制度。应明确组织机构与职责、防范措施、巡查和排查要求、预警与信息发布规定等内容。</w:t>
            </w:r>
          </w:p>
          <w:p w14:paraId="4874989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 安全风险分级管控制度。应明确危险源辨识、风险评价及管控的职责、范围、准则、程序、要求和方法，落实水利安全生产风险管控“六项机制”有关措施等内容。</w:t>
            </w:r>
          </w:p>
          <w:p w14:paraId="265A4A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kern w:val="0"/>
                <w:sz w:val="28"/>
                <w:szCs w:val="28"/>
              </w:rPr>
              <w:t>注：“六项机制”是指构建水利安全生产风险查找、研判、预警、防范、处置和责任等风险管控的工作机制。</w:t>
            </w:r>
          </w:p>
          <w:p w14:paraId="1731F4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 隐患排查治理制度。应明确隐患排查治理各级负责人、各部门、各岗位的职责和工作要求，排查治理内容、程序、周期和整改要求，信息通报、报送和台账管理，建档监控和举报奖励等内容。</w:t>
            </w:r>
          </w:p>
          <w:p w14:paraId="678D01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16. 安全预测预警制度。应明确预测预警工作的职责，预测对象与范围、程序、方法、频次，预警的指标和权重、预警的触发条件、预警发布条件、控制及处置措施，安全生产状况评价等内容。</w:t>
            </w:r>
          </w:p>
          <w:p w14:paraId="399453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17. 应急管理及事故管理制度（含应急管理制度，事故报告、调查和处理制度）。应明确突发事件预防、应急准备、应急救援，事故报告程序、责任人、时限、内容，事故调查、原因分析、纠正和预防措施、责任追究、统计与分析等内容。</w:t>
            </w:r>
          </w:p>
          <w:p w14:paraId="614BD0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18. 绩效评定管理制度。应明确职责、内容、要求、程序等内容。</w:t>
            </w:r>
          </w:p>
          <w:p w14:paraId="3F2E90A5">
            <w:pPr>
              <w:widowControl/>
              <w:adjustRightInd w:val="0"/>
              <w:snapToGrid w:val="0"/>
              <w:ind w:firstLine="560" w:firstLineChars="200"/>
              <w:rPr>
                <w:rFonts w:hint="default" w:ascii="Times New Roman" w:hAnsi="Times New Roman" w:eastAsia="仿宋_GB2312" w:cs="Times New Roman"/>
                <w:b/>
                <w:bCs/>
                <w:kern w:val="0"/>
                <w:sz w:val="28"/>
                <w:szCs w:val="28"/>
              </w:rPr>
            </w:pPr>
            <w:bookmarkStart w:id="4" w:name="_Hlk152507744"/>
            <w:r>
              <w:rPr>
                <w:rFonts w:hint="default" w:ascii="Times New Roman" w:hAnsi="Times New Roman" w:eastAsia="仿宋_GB2312" w:cs="Times New Roman"/>
                <w:sz w:val="28"/>
                <w:szCs w:val="28"/>
              </w:rPr>
              <w:t>19. 生态流量泄放及相关设施管理制度</w:t>
            </w:r>
            <w:bookmarkEnd w:id="4"/>
            <w:r>
              <w:rPr>
                <w:rFonts w:hint="default" w:ascii="Times New Roman" w:hAnsi="Times New Roman" w:eastAsia="仿宋_GB2312" w:cs="Times New Roman"/>
                <w:sz w:val="28"/>
                <w:szCs w:val="28"/>
              </w:rPr>
              <w:t>。应明确含管理职责、建设及运行管理、维修养护与更新改造等</w:t>
            </w:r>
          </w:p>
        </w:tc>
        <w:tc>
          <w:tcPr>
            <w:tcW w:w="909" w:type="dxa"/>
            <w:noWrap w:val="0"/>
            <w:vAlign w:val="center"/>
          </w:tcPr>
          <w:p w14:paraId="3937EEC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25</w:t>
            </w:r>
          </w:p>
        </w:tc>
        <w:tc>
          <w:tcPr>
            <w:tcW w:w="5580" w:type="dxa"/>
            <w:noWrap w:val="0"/>
            <w:vAlign w:val="center"/>
          </w:tcPr>
          <w:p w14:paraId="51FA487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查制度文本、相关记录。</w:t>
            </w:r>
          </w:p>
          <w:p w14:paraId="1413710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制度不全或未以正式文件发布，每项扣2分。</w:t>
            </w:r>
          </w:p>
          <w:p w14:paraId="64A9B4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制度内容不全或不符合有关规定，每项扣1分。</w:t>
            </w:r>
          </w:p>
          <w:p w14:paraId="7B7CD1B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部门或工作岗位发放不全，每缺一个扣2分。</w:t>
            </w:r>
          </w:p>
          <w:p w14:paraId="580AF99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规章制度文本发放不全，每缺一项扣2分</w:t>
            </w:r>
          </w:p>
        </w:tc>
      </w:tr>
      <w:tr w14:paraId="0F19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0" w:type="dxa"/>
            <w:noWrap w:val="0"/>
            <w:vAlign w:val="center"/>
          </w:tcPr>
          <w:p w14:paraId="6498C81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2.3操作规程（25分）</w:t>
            </w:r>
          </w:p>
        </w:tc>
        <w:tc>
          <w:tcPr>
            <w:tcW w:w="5869" w:type="dxa"/>
            <w:noWrap w:val="0"/>
            <w:vAlign w:val="center"/>
          </w:tcPr>
          <w:p w14:paraId="7B4660C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2.3.1安全操作规程配备</w:t>
            </w:r>
          </w:p>
          <w:p w14:paraId="40FAC5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根据相关规程规范，并结合电站实际，组织编制或引用现场运行、检修等安全操作规程，并配备至相关班组、岗位。</w:t>
            </w:r>
          </w:p>
          <w:p w14:paraId="79DA593D">
            <w:pPr>
              <w:widowControl/>
              <w:adjustRightInd w:val="0"/>
              <w:snapToGrid w:val="0"/>
              <w:ind w:firstLine="560" w:firstLineChars="200"/>
              <w:rPr>
                <w:rFonts w:hint="default" w:ascii="Times New Roman" w:hAnsi="Times New Roman" w:eastAsia="仿宋_GB2312" w:cs="Times New Roman"/>
                <w:b/>
                <w:bCs/>
                <w:kern w:val="0"/>
                <w:sz w:val="28"/>
                <w:szCs w:val="28"/>
              </w:rPr>
            </w:pPr>
            <w:bookmarkStart w:id="5" w:name="OLE_LINK2"/>
            <w:r>
              <w:rPr>
                <w:rFonts w:hint="default" w:ascii="Times New Roman" w:hAnsi="Times New Roman" w:eastAsia="仿宋_GB2312" w:cs="Times New Roman"/>
                <w:sz w:val="28"/>
                <w:szCs w:val="28"/>
              </w:rPr>
              <w:t>新工艺</w:t>
            </w:r>
            <w:bookmarkEnd w:id="5"/>
            <w:r>
              <w:rPr>
                <w:rFonts w:hint="default" w:ascii="Times New Roman" w:hAnsi="Times New Roman" w:eastAsia="仿宋_GB2312" w:cs="Times New Roman"/>
                <w:sz w:val="28"/>
                <w:szCs w:val="28"/>
              </w:rPr>
              <w:t>、新技术、新材料、新设备投入使用前，组织编制或修订相应的安全操作规程，并确保其适宜性和有效性</w:t>
            </w:r>
          </w:p>
        </w:tc>
        <w:tc>
          <w:tcPr>
            <w:tcW w:w="909" w:type="dxa"/>
            <w:noWrap w:val="0"/>
            <w:vAlign w:val="center"/>
          </w:tcPr>
          <w:p w14:paraId="1A4E141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25</w:t>
            </w:r>
          </w:p>
        </w:tc>
        <w:tc>
          <w:tcPr>
            <w:tcW w:w="5580" w:type="dxa"/>
            <w:noWrap w:val="0"/>
            <w:vAlign w:val="center"/>
          </w:tcPr>
          <w:p w14:paraId="44A0F6A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查规程文本和记录并现场检查。</w:t>
            </w:r>
          </w:p>
          <w:p w14:paraId="2C0861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规程不齐全，每缺一项扣5分。</w:t>
            </w:r>
          </w:p>
          <w:p w14:paraId="252BC09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未以正式文件发布，每项扣3分。</w:t>
            </w:r>
          </w:p>
          <w:p w14:paraId="18C3ED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规程不适用或有错误，每项扣2分。</w:t>
            </w:r>
          </w:p>
          <w:p w14:paraId="77AE65D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新工艺、新技术、新材料、新设备投入使用前，未组织编制或修订安全操作规程，每项扣2分。</w:t>
            </w:r>
          </w:p>
          <w:p w14:paraId="75A80BAE">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规程未发放，扣5分；每少发一个班组、岗位合并扣1分</w:t>
            </w:r>
          </w:p>
        </w:tc>
      </w:tr>
      <w:tr w14:paraId="3D27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6D2F97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2.4文档管理（15分）</w:t>
            </w:r>
          </w:p>
        </w:tc>
        <w:tc>
          <w:tcPr>
            <w:tcW w:w="5869" w:type="dxa"/>
            <w:noWrap w:val="0"/>
            <w:vAlign w:val="center"/>
          </w:tcPr>
          <w:p w14:paraId="62A5064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2.4.1安全记录档案管理</w:t>
            </w:r>
          </w:p>
          <w:p w14:paraId="7A257BC4">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建立健全安全生产过程、事件、活动、检查的安全记录档案，并实施有效管理。</w:t>
            </w:r>
          </w:p>
          <w:p w14:paraId="74CE835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安全记录档案应包括但不限于：操作票、工作票、值班日志、交接班记录、巡检记录、检修记录、设备缺陷记录、设备台账、事故调查报告、安全生产通报、安全会议记录、安全活动记录、安全检查记录</w:t>
            </w:r>
          </w:p>
        </w:tc>
        <w:tc>
          <w:tcPr>
            <w:tcW w:w="909" w:type="dxa"/>
            <w:noWrap w:val="0"/>
            <w:vAlign w:val="center"/>
          </w:tcPr>
          <w:p w14:paraId="4EFF191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574598F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A440F6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未建立安全记录档案，扣10分。</w:t>
            </w:r>
          </w:p>
          <w:p w14:paraId="22A6FE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缺少相关记录档案，每项扣2分。</w:t>
            </w:r>
          </w:p>
          <w:p w14:paraId="2FB0D041">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记录不符合要求，每项扣1分</w:t>
            </w:r>
          </w:p>
        </w:tc>
      </w:tr>
      <w:tr w14:paraId="7064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918F9B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575B1EE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2.4.2文档评估与修订</w:t>
            </w:r>
          </w:p>
          <w:p w14:paraId="31933AC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每年至少评估一次安全生产法律法规、标准规范、规范性文件、规章制度、操作规程的适用性、有效性和执行情况，并根据评估、检查、自评、评审、事故调查等发现的相关问题，及时修订安全生产规章制度、操作规程</w:t>
            </w:r>
          </w:p>
        </w:tc>
        <w:tc>
          <w:tcPr>
            <w:tcW w:w="909" w:type="dxa"/>
            <w:noWrap w:val="0"/>
            <w:vAlign w:val="center"/>
          </w:tcPr>
          <w:p w14:paraId="754CC3E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54DD12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61A63DD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未按时进行评估或无评估结论，扣5分。</w:t>
            </w:r>
          </w:p>
          <w:p w14:paraId="7DF9F53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评估结果与实际不符，扣2分。</w:t>
            </w:r>
          </w:p>
          <w:p w14:paraId="0941BA4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应修订而未及时修订，每项扣2分</w:t>
            </w:r>
          </w:p>
        </w:tc>
      </w:tr>
      <w:tr w14:paraId="45D8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42B5B91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350F4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05203C4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70</w:t>
            </w:r>
          </w:p>
        </w:tc>
        <w:tc>
          <w:tcPr>
            <w:tcW w:w="5580" w:type="dxa"/>
            <w:noWrap w:val="0"/>
            <w:vAlign w:val="center"/>
          </w:tcPr>
          <w:p w14:paraId="378D67A9">
            <w:pPr>
              <w:widowControl/>
              <w:adjustRightInd w:val="0"/>
              <w:snapToGrid w:val="0"/>
              <w:spacing w:before="60" w:beforeLines="25" w:after="60" w:afterLines="25"/>
              <w:rPr>
                <w:rFonts w:hint="default" w:ascii="Times New Roman" w:hAnsi="Times New Roman" w:eastAsia="仿宋_GB2312" w:cs="Times New Roman"/>
                <w:b/>
                <w:bCs/>
                <w:kern w:val="0"/>
                <w:sz w:val="28"/>
                <w:szCs w:val="28"/>
              </w:rPr>
            </w:pPr>
          </w:p>
        </w:tc>
      </w:tr>
      <w:tr w14:paraId="7DCE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52D0074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3. 教育培训（60分）</w:t>
            </w:r>
          </w:p>
        </w:tc>
      </w:tr>
      <w:tr w14:paraId="3FDE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F97457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1009FEA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65571A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3B09ADAD">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3B58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488B23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3.1教育培训管理（5分）</w:t>
            </w:r>
          </w:p>
        </w:tc>
        <w:tc>
          <w:tcPr>
            <w:tcW w:w="5869" w:type="dxa"/>
            <w:noWrap w:val="0"/>
            <w:vAlign w:val="center"/>
          </w:tcPr>
          <w:p w14:paraId="460083E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3.1.1安全教育培训管理</w:t>
            </w:r>
          </w:p>
          <w:p w14:paraId="08E7C00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定期识别安全教育培训需求，编制培训计划，按计划进行培训，对培训效果进行评价，并根据评价结论进行改进，建立教育培训档案。</w:t>
            </w:r>
          </w:p>
          <w:p w14:paraId="1AC810D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安全教育培训内容包括但不限于：安全生产法律法规、部门规章、技术标准、安全生产规章制度、安全操作规程、应急预案、应急知识（自救互救、避险逃生技能等）、防汛抢险、消防等</w:t>
            </w:r>
          </w:p>
        </w:tc>
        <w:tc>
          <w:tcPr>
            <w:tcW w:w="909" w:type="dxa"/>
            <w:noWrap w:val="0"/>
            <w:vAlign w:val="center"/>
          </w:tcPr>
          <w:p w14:paraId="55449BB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161028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1A822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未识别培训需求并制定、实施培训计划，扣5分。</w:t>
            </w:r>
          </w:p>
          <w:p w14:paraId="038D868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培训内容不全，每项扣1分。</w:t>
            </w:r>
          </w:p>
          <w:p w14:paraId="7E43F1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未进行培训效果评价，每次扣1分。</w:t>
            </w:r>
          </w:p>
          <w:p w14:paraId="20E766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未根据评价结论进行改进，每次扣1分。</w:t>
            </w:r>
          </w:p>
          <w:p w14:paraId="7B5226AD">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未建立培训档案，培训档案不完整，扣2分</w:t>
            </w:r>
          </w:p>
        </w:tc>
      </w:tr>
      <w:tr w14:paraId="0C31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7E9D9B6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3.2人员教育培训（55分）</w:t>
            </w:r>
          </w:p>
        </w:tc>
        <w:tc>
          <w:tcPr>
            <w:tcW w:w="5869" w:type="dxa"/>
            <w:noWrap w:val="0"/>
            <w:vAlign w:val="center"/>
          </w:tcPr>
          <w:p w14:paraId="4EB35D2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3.2.1主要负责人和安全生产管理人员培训</w:t>
            </w:r>
          </w:p>
          <w:p w14:paraId="3FAD23F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主要负责人和安全生产管理人员，应具备相应的安全生产和职业健康知识与管理能力，并按规定经有关部门培训并考核合格</w:t>
            </w:r>
          </w:p>
        </w:tc>
        <w:tc>
          <w:tcPr>
            <w:tcW w:w="909" w:type="dxa"/>
            <w:noWrap w:val="0"/>
            <w:vAlign w:val="center"/>
          </w:tcPr>
          <w:p w14:paraId="371DD68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5E1DBF9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637AC1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相关人员对岗位安全生产和职业健康知识不熟悉，每人扣1分。</w:t>
            </w:r>
          </w:p>
          <w:p w14:paraId="487748D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相关人员未经考核合格或未按规定进行复审、培训，每人扣4分</w:t>
            </w:r>
          </w:p>
        </w:tc>
      </w:tr>
      <w:tr w14:paraId="62E0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B80C9E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93C3CA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3.2.2在岗员工培训</w:t>
            </w:r>
          </w:p>
          <w:p w14:paraId="5ED5B6AA">
            <w:pPr>
              <w:adjustRightInd w:val="0"/>
              <w:snapToGrid w:val="0"/>
              <w:ind w:firstLine="544"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pacing w:val="-4"/>
                <w:sz w:val="28"/>
                <w:szCs w:val="28"/>
              </w:rPr>
              <w:t>每年对</w:t>
            </w:r>
            <w:r>
              <w:rPr>
                <w:rFonts w:hint="default" w:ascii="Times New Roman" w:hAnsi="Times New Roman" w:eastAsia="仿宋_GB2312" w:cs="Times New Roman"/>
                <w:sz w:val="28"/>
                <w:szCs w:val="28"/>
              </w:rPr>
              <w:t>在岗</w:t>
            </w:r>
            <w:r>
              <w:rPr>
                <w:rFonts w:hint="default" w:ascii="Times New Roman" w:hAnsi="Times New Roman" w:eastAsia="仿宋_GB2312" w:cs="Times New Roman"/>
                <w:spacing w:val="-4"/>
                <w:sz w:val="28"/>
                <w:szCs w:val="28"/>
              </w:rPr>
              <w:t>员工进行安全生产教育和培训，培训时间和内容应符合</w:t>
            </w:r>
            <w:r>
              <w:rPr>
                <w:rFonts w:hint="default" w:ascii="Times New Roman" w:hAnsi="Times New Roman" w:eastAsia="仿宋_GB2312" w:cs="Times New Roman"/>
                <w:sz w:val="28"/>
                <w:szCs w:val="28"/>
              </w:rPr>
              <w:t>GB 26860等</w:t>
            </w:r>
            <w:r>
              <w:rPr>
                <w:rFonts w:hint="default" w:ascii="Times New Roman" w:hAnsi="Times New Roman" w:eastAsia="仿宋_GB2312" w:cs="Times New Roman"/>
                <w:spacing w:val="-4"/>
                <w:sz w:val="28"/>
                <w:szCs w:val="28"/>
              </w:rPr>
              <w:t>有关规定。每年至少进行一次</w:t>
            </w:r>
            <w:r>
              <w:rPr>
                <w:rFonts w:hint="default" w:ascii="Times New Roman" w:hAnsi="Times New Roman" w:eastAsia="仿宋_GB2312" w:cs="Times New Roman"/>
                <w:sz w:val="28"/>
                <w:szCs w:val="28"/>
              </w:rPr>
              <w:t>GB 26860</w:t>
            </w:r>
            <w:r>
              <w:rPr>
                <w:rFonts w:hint="default" w:ascii="Times New Roman" w:hAnsi="Times New Roman" w:eastAsia="仿宋_GB2312" w:cs="Times New Roman"/>
                <w:spacing w:val="-4"/>
                <w:sz w:val="28"/>
                <w:szCs w:val="28"/>
              </w:rPr>
              <w:t>及《运行规程》《检修规程》考试。</w:t>
            </w:r>
          </w:p>
          <w:p w14:paraId="4EAB81D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工作票签发人、工作许可人、工作负责人、单独巡视高压设备人员，每年应培训考核合格。</w:t>
            </w:r>
          </w:p>
          <w:p w14:paraId="4E5FD7DE">
            <w:pPr>
              <w:widowControl/>
              <w:adjustRightInd w:val="0"/>
              <w:snapToGrid w:val="0"/>
              <w:ind w:firstLine="544"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pacing w:val="-4"/>
                <w:sz w:val="28"/>
                <w:szCs w:val="28"/>
              </w:rPr>
              <w:t>在新工艺、新技术、新材料、新设备投入使用前，根据技术说明书、使用说明书、操作技术要求等，对有关管理、操作人员进行有针对性的安全技术和操作技能培训、考核</w:t>
            </w:r>
          </w:p>
        </w:tc>
        <w:tc>
          <w:tcPr>
            <w:tcW w:w="909" w:type="dxa"/>
            <w:noWrap w:val="0"/>
            <w:vAlign w:val="center"/>
          </w:tcPr>
          <w:p w14:paraId="6A93A8E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47A1753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21D66EA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未接受培训，每人扣1分。</w:t>
            </w:r>
          </w:p>
          <w:p w14:paraId="25FC339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未按规定要求开展培训，扣2分。</w:t>
            </w:r>
          </w:p>
          <w:p w14:paraId="68D93C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未进行“三规”考试，扣5分。</w:t>
            </w:r>
          </w:p>
          <w:p w14:paraId="2BA6B3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工作票签发人、工作许可人、工作负责人、单独巡视高压设备人员未按要求培训考核合格，扣5分。</w:t>
            </w:r>
          </w:p>
          <w:p w14:paraId="26CD9E1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在新工艺、新技术、新材料、新设备投入使用前，无培训、考核记录，扣5分；培训不全，每少一人扣1分；考核不合格，每人扣1分</w:t>
            </w:r>
          </w:p>
        </w:tc>
      </w:tr>
      <w:tr w14:paraId="1475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699410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03395A9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3.2.3新员工及重新上岗人员岗前培训</w:t>
            </w:r>
          </w:p>
          <w:p w14:paraId="1B6C42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新员工上岗前应按规定接受三级安全教育培训，并考核合格。未经安全培训考核合格的新员工，不得上岗。</w:t>
            </w:r>
          </w:p>
          <w:p w14:paraId="6455831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作业人员转岗、离岗3个月以上重新上岗前，应进行安全教育培训，经考核合格后上岗</w:t>
            </w:r>
          </w:p>
        </w:tc>
        <w:tc>
          <w:tcPr>
            <w:tcW w:w="909" w:type="dxa"/>
            <w:noWrap w:val="0"/>
            <w:vAlign w:val="center"/>
          </w:tcPr>
          <w:p w14:paraId="5EF3F86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15</w:t>
            </w:r>
          </w:p>
        </w:tc>
        <w:tc>
          <w:tcPr>
            <w:tcW w:w="5580" w:type="dxa"/>
            <w:noWrap w:val="0"/>
            <w:vAlign w:val="center"/>
          </w:tcPr>
          <w:p w14:paraId="1016306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w:t>
            </w:r>
          </w:p>
          <w:p w14:paraId="734B47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新员工上岗前无培训、考核记录，或未经培训考核合格上岗，扣5分；教育培训层级不完整或课时不足，扣3分。</w:t>
            </w:r>
          </w:p>
          <w:p w14:paraId="1C15ACB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重新上岗员工无培训、考核记录，或考核不合格，扣5分</w:t>
            </w:r>
          </w:p>
        </w:tc>
      </w:tr>
      <w:tr w14:paraId="04D3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D63FF6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0FE6B7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3.2.4特种作业人员培训</w:t>
            </w:r>
          </w:p>
          <w:p w14:paraId="1E72E9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特种作业人员、特种设备作业人员应按照国家有关规定经过专门的安全作业培训，取得相关证书后上岗作业。</w:t>
            </w:r>
          </w:p>
          <w:p w14:paraId="738BBA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离岗6个月以上重新上岗，应进行实际操作考核合格后上岗工作。</w:t>
            </w:r>
          </w:p>
          <w:p w14:paraId="09B63A8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建立健全特种作业人员和特种设备作业人员档案</w:t>
            </w:r>
          </w:p>
        </w:tc>
        <w:tc>
          <w:tcPr>
            <w:tcW w:w="909" w:type="dxa"/>
            <w:noWrap w:val="0"/>
            <w:vAlign w:val="center"/>
          </w:tcPr>
          <w:p w14:paraId="2B3E636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6BB7179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4ABA069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未持证上岗，每人扣10分。</w:t>
            </w:r>
          </w:p>
          <w:p w14:paraId="556FA6C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离岗6个月以上，未经考核合格上岗，每人扣3分。</w:t>
            </w:r>
          </w:p>
          <w:p w14:paraId="20D36CB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特种作业人员、特种设备作业人员档案资料不全，每少一人扣2分</w:t>
            </w:r>
          </w:p>
        </w:tc>
      </w:tr>
      <w:tr w14:paraId="08F2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0E56A0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1369CC1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3.2.5相关方作业人员安全教育</w:t>
            </w:r>
          </w:p>
          <w:p w14:paraId="5182FAF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督促检查相关方作业人员的安全生产教育培训及持证上岗情况。对相关方作业人员进行现场安全教育，主要内容包括：作业环境、本厂（站）规定、危险设备与行为、其他安全注意事项等，并形成记录</w:t>
            </w:r>
          </w:p>
        </w:tc>
        <w:tc>
          <w:tcPr>
            <w:tcW w:w="909" w:type="dxa"/>
            <w:noWrap w:val="0"/>
            <w:vAlign w:val="center"/>
          </w:tcPr>
          <w:p w14:paraId="4D28664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50A6559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460BF2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未督促检查，扣3分；督促检查不全，每缺一个单位扣1分。</w:t>
            </w:r>
          </w:p>
          <w:p w14:paraId="4D2F86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未进行现场安全教育，扣2分。</w:t>
            </w:r>
          </w:p>
          <w:p w14:paraId="203EE75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未形成安全教育记录，扣2分</w:t>
            </w:r>
          </w:p>
        </w:tc>
      </w:tr>
      <w:tr w14:paraId="2CB1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5A2B3D4">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4ADF164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3.2.6外来人员安全教育</w:t>
            </w:r>
          </w:p>
          <w:p w14:paraId="78468CB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对外来检查、参观、学习人员进行安全教育，主要内容应包括：安全规定、可能接触到的危险有害因素、职业病危害防护措施、应急知识等，并由专人带领做好相关监护工作</w:t>
            </w:r>
          </w:p>
        </w:tc>
        <w:tc>
          <w:tcPr>
            <w:tcW w:w="909" w:type="dxa"/>
            <w:noWrap w:val="0"/>
            <w:vAlign w:val="center"/>
          </w:tcPr>
          <w:p w14:paraId="7F48F55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4F5025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1937F5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未进行安全教育，扣5分。</w:t>
            </w:r>
          </w:p>
          <w:p w14:paraId="7B47BC8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安全教育内容不符合要求，扣3分。</w:t>
            </w:r>
          </w:p>
          <w:p w14:paraId="31FBBF6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无专人带领监护，扣5分</w:t>
            </w:r>
          </w:p>
        </w:tc>
      </w:tr>
      <w:tr w14:paraId="6A0B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D7AAD9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626DD30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E1F0734">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60</w:t>
            </w:r>
          </w:p>
        </w:tc>
        <w:tc>
          <w:tcPr>
            <w:tcW w:w="5580" w:type="dxa"/>
            <w:noWrap w:val="0"/>
            <w:vAlign w:val="center"/>
          </w:tcPr>
          <w:p w14:paraId="1BECEE6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r>
      <w:tr w14:paraId="72E2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82271F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4. 现场管理（600分）</w:t>
            </w:r>
          </w:p>
        </w:tc>
      </w:tr>
      <w:tr w14:paraId="1F78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B7AEFD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3D7C34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1194C46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46960F9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1C4A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3679392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4.1设施设备管理（425分）</w:t>
            </w:r>
          </w:p>
        </w:tc>
        <w:tc>
          <w:tcPr>
            <w:tcW w:w="5869" w:type="dxa"/>
            <w:noWrap w:val="0"/>
            <w:vAlign w:val="center"/>
          </w:tcPr>
          <w:p w14:paraId="53AF885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4.1.1挡水建筑物</w:t>
            </w:r>
          </w:p>
          <w:p w14:paraId="76D77E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水库大坝、水闸等定期进行巡查维护（每月至少2次）和安全检查（年度、汛前、汛后、特大洪水及地震后），并按规定进行安全监测，做好相关记录。</w:t>
            </w:r>
          </w:p>
          <w:p w14:paraId="5069C8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基础及坝体稳定，无异常渗漏现象；坝体结构无错位、贯通性裂纹或洞穴；边坡及水库库岸稳定，无隐患；坝顶路面平整，抢险通道畅通；充排水（气）系统工作正常；各类观测、监测设备完好。</w:t>
            </w:r>
          </w:p>
          <w:p w14:paraId="122BF5A0">
            <w:pPr>
              <w:adjustRightInd w:val="0"/>
              <w:snapToGrid w:val="0"/>
              <w:ind w:firstLine="560" w:firstLineChars="200"/>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坝前无影响水库功能、危及坝体安全、影响正常取水的严重淤积</w:t>
            </w:r>
          </w:p>
        </w:tc>
        <w:tc>
          <w:tcPr>
            <w:tcW w:w="909" w:type="dxa"/>
            <w:noWrap w:val="0"/>
            <w:vAlign w:val="center"/>
          </w:tcPr>
          <w:p w14:paraId="589C2041">
            <w:pPr>
              <w:adjustRightInd w:val="0"/>
              <w:snapToGrid w:val="0"/>
              <w:spacing w:before="60" w:beforeLines="25" w:after="60" w:afterLines="25"/>
              <w:jc w:val="center"/>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60</w:t>
            </w:r>
          </w:p>
        </w:tc>
        <w:tc>
          <w:tcPr>
            <w:tcW w:w="5580" w:type="dxa"/>
            <w:noWrap w:val="0"/>
            <w:vAlign w:val="center"/>
          </w:tcPr>
          <w:p w14:paraId="0DC5D10E">
            <w:pPr>
              <w:adjustRightInd w:val="0"/>
              <w:snapToGrid w:val="0"/>
              <w:ind w:firstLine="560"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查相关文件、记录并现场检查。</w:t>
            </w:r>
          </w:p>
          <w:p w14:paraId="5749FF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水库大坝、水闸未按安全鉴定（评估）意见完成整改，扣60分。</w:t>
            </w:r>
          </w:p>
          <w:p w14:paraId="3CD3E5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未按规定定期开展巡查维护和安全检查，或无相关记录，扣8分。</w:t>
            </w:r>
          </w:p>
          <w:p w14:paraId="2ABFF3B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相关记录不全或不详实，扣4分。</w:t>
            </w:r>
          </w:p>
          <w:p w14:paraId="4E2E377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安全监测不全，每缺一项扣3分。</w:t>
            </w:r>
          </w:p>
          <w:p w14:paraId="0C45FB0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基础、坝体结构、边坡及水库库岸存在安全隐患，每项扣5分。</w:t>
            </w:r>
          </w:p>
          <w:p w14:paraId="3242C89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坝顶被违规作为他用，或充排水（气）系统有缺陷，扣5分。</w:t>
            </w:r>
          </w:p>
          <w:p w14:paraId="27B68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观测设施、仪器、仪表的校验或检定不符合要求，每项扣2分。</w:t>
            </w:r>
          </w:p>
          <w:p w14:paraId="74427B0A">
            <w:pPr>
              <w:adjustRightInd w:val="0"/>
              <w:snapToGrid w:val="0"/>
              <w:ind w:firstLine="552" w:firstLineChars="200"/>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各主要监测量异常且未采取有效措施，每项扣5分。</w:t>
            </w:r>
          </w:p>
          <w:p w14:paraId="2E695247">
            <w:pPr>
              <w:adjustRightInd w:val="0"/>
              <w:snapToGrid w:val="0"/>
              <w:spacing w:before="60" w:beforeLines="25" w:after="60" w:afterLines="25"/>
              <w:ind w:firstLine="560" w:firstLineChars="200"/>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库区内存在影响水库功能、危及坝体安全、影响正常取水的严重淤积，扣10分</w:t>
            </w:r>
          </w:p>
        </w:tc>
      </w:tr>
      <w:tr w14:paraId="50CA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850FF3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80AD5F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4.1.2泄水建筑物</w:t>
            </w:r>
          </w:p>
          <w:p w14:paraId="0A4090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溢洪道、泄洪洞、泄洪孔等定期（每月至少2次）进行巡查维护和安全检查（年度、汛前、汛后、特大洪水及地震后），并按规定进行安全监测，做好相关记录。</w:t>
            </w:r>
          </w:p>
          <w:p w14:paraId="33A2A4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基础稳定，溢流面无冲蚀现象，边坡稳定，无异常渗漏和其他隐患</w:t>
            </w:r>
          </w:p>
        </w:tc>
        <w:tc>
          <w:tcPr>
            <w:tcW w:w="909" w:type="dxa"/>
            <w:noWrap w:val="0"/>
            <w:vAlign w:val="center"/>
          </w:tcPr>
          <w:p w14:paraId="732F60D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21E11E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1AA5DB5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未按规定定期开展巡查维护和安全检查，或无相关记录，扣4分。</w:t>
            </w:r>
          </w:p>
          <w:p w14:paraId="1F8A166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005BE25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未按规定进行监测，扣3分。</w:t>
            </w:r>
          </w:p>
          <w:p w14:paraId="778C76D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基础及结构存在影响安全的缺陷，每项扣5分。</w:t>
            </w:r>
          </w:p>
          <w:p w14:paraId="687FE9C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泄水建筑物存在影响泄洪的重大缺陷，扣20分</w:t>
            </w:r>
          </w:p>
        </w:tc>
      </w:tr>
      <w:tr w14:paraId="7F3A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ACE68B9">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D7F62F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4.1.3发电引水设施</w:t>
            </w:r>
          </w:p>
          <w:p w14:paraId="7AB51BF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定期（每月至少2次，压力管道每周至少1次）进行巡查和维护，年度检查至少2次，做好相关记录。</w:t>
            </w:r>
          </w:p>
          <w:p w14:paraId="06F606A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引水渠道、渡槽、涵管、尾水渠等结构稳定，衬砌良好，无淤积、漏水、老化、错位、坍塌现象，边坡稳定无隐患。</w:t>
            </w:r>
          </w:p>
          <w:p w14:paraId="267E0B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隧洞围岩稳定，无坍塌、异常渗漏，能满足电站开、停机要求。</w:t>
            </w:r>
          </w:p>
          <w:p w14:paraId="22FBF02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前池、调压室（井、塔）结构稳定，无塌陷、变形、破损和漏水现象；顶部布置能满足负荷突变时涌浪的要求，有顶盖的调压井通气良好；附属设施（栏杆、扶手、楼梯、爬梯）和必要的水位观测应完整、可靠。调压阀动作可靠。</w:t>
            </w:r>
          </w:p>
          <w:p w14:paraId="295EC2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压力钢管维护良好，定期进行防腐处理；焊缝无开裂，伸缩节完好，无渗漏。钢筋混凝土压力管道应伸缩节完好，无渗漏，混凝土无明显老化、剥蚀和钢筋外露现象。支墩与镇墩结构稳定，混凝土无老化、开裂、位移、沉陷、破损</w:t>
            </w:r>
          </w:p>
        </w:tc>
        <w:tc>
          <w:tcPr>
            <w:tcW w:w="909" w:type="dxa"/>
            <w:noWrap w:val="0"/>
            <w:vAlign w:val="center"/>
          </w:tcPr>
          <w:p w14:paraId="4455A98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40</w:t>
            </w:r>
          </w:p>
        </w:tc>
        <w:tc>
          <w:tcPr>
            <w:tcW w:w="5580" w:type="dxa"/>
            <w:noWrap w:val="0"/>
            <w:vAlign w:val="center"/>
          </w:tcPr>
          <w:p w14:paraId="578A693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D7FAF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未按规定定期开展巡查维护，或无相关记录，扣3分；隧洞未按规定定期开展巡查维护，或无相关记录，扣2分；前池、调压室（井、塔）未按规定定期开展巡查维护，或无相关记录，扣2分；压力管道未按规定定期开展巡查维护，或无相关记录，扣4分。</w:t>
            </w:r>
          </w:p>
          <w:p w14:paraId="4A2E5F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引水渠道、渡槽、涵管、尾水渠等相关记录不全或不详实，扣2分；隧洞相关记录不全或不详实，扣2分；前池、调压室（井、塔）相关记录不全或不详实，扣2分；压力管道相关记录不全或不详实，扣2分。</w:t>
            </w:r>
          </w:p>
          <w:p w14:paraId="4F07E9C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有相关缺陷，每处扣5分</w:t>
            </w:r>
          </w:p>
        </w:tc>
      </w:tr>
      <w:tr w14:paraId="31BB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19085CD">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37CE87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4.1.4启闭机房、发电厂房</w:t>
            </w:r>
          </w:p>
          <w:p w14:paraId="4E30D4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定期（每周至少1次）进行巡查（</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）维护，做好相关记录。</w:t>
            </w:r>
          </w:p>
          <w:p w14:paraId="54E6AD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排水、通风、防潮、防水满足安全运行要求；基础稳定，无裂缝、漏水等缺陷；无危及厂房的滑坡体或落石</w:t>
            </w:r>
          </w:p>
        </w:tc>
        <w:tc>
          <w:tcPr>
            <w:tcW w:w="909" w:type="dxa"/>
            <w:noWrap w:val="0"/>
            <w:vAlign w:val="center"/>
          </w:tcPr>
          <w:p w14:paraId="491C24F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57653C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C070D0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46596E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69D9D1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7AF3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73EF76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A01085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4.1.5升压站设施</w:t>
            </w:r>
          </w:p>
          <w:p w14:paraId="58A642E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定期（每周至少1次）进行巡查（</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）维护，做好相关记录。</w:t>
            </w:r>
          </w:p>
          <w:p w14:paraId="67178E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升压站巡视通道整洁顺畅，设备设施无明显锈蚀。站内地面平整，无杂草，排水正常，操作道和巡视道完善，电缆沟及各设备基础稳定。</w:t>
            </w:r>
          </w:p>
          <w:p w14:paraId="154130E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外的屋外配电装置场地四周应设置2.2—2.5米高的实体围墙，围墙边坡稳定无隐患，结构稳定可靠；厂区内的屋外配电装置场地周围应设置围栏，高度应不小于1.5米，隔挡间距不超过0.2米，金属围栏应可靠接地。</w:t>
            </w:r>
          </w:p>
          <w:p w14:paraId="0015D8A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高低压开关室的门应采用防火门，门可双向开启或向外开启。开关柜电缆进口应封闭。SF6开关室、GIS室必须安装SF6在线监测报警系统和强力通风装置，排风口应设置在室内底部，进风口应设置在开关室上部</w:t>
            </w:r>
          </w:p>
        </w:tc>
        <w:tc>
          <w:tcPr>
            <w:tcW w:w="909" w:type="dxa"/>
            <w:noWrap w:val="0"/>
            <w:vAlign w:val="center"/>
          </w:tcPr>
          <w:p w14:paraId="304EB8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650E4F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4915A0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45BB6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2FAF51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3074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87ADAA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872627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4.1.6泄洪闸门</w:t>
            </w:r>
          </w:p>
          <w:p w14:paraId="37296CAE">
            <w:pPr>
              <w:adjustRightInd w:val="0"/>
              <w:snapToGrid w:val="0"/>
              <w:ind w:firstLine="544"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pacing w:val="-4"/>
                <w:sz w:val="28"/>
                <w:szCs w:val="28"/>
              </w:rPr>
              <w:t>泄洪闸门启闭机</w:t>
            </w:r>
            <w:r>
              <w:rPr>
                <w:rFonts w:hint="default" w:ascii="Times New Roman" w:hAnsi="Times New Roman" w:eastAsia="仿宋_GB2312" w:cs="Times New Roman"/>
                <w:sz w:val="28"/>
                <w:szCs w:val="28"/>
              </w:rPr>
              <w:t>应由双重电源</w:t>
            </w:r>
            <w:r>
              <w:rPr>
                <w:rFonts w:hint="default" w:ascii="Times New Roman" w:hAnsi="Times New Roman" w:eastAsia="仿宋_GB2312" w:cs="Times New Roman"/>
                <w:spacing w:val="-4"/>
                <w:sz w:val="28"/>
                <w:szCs w:val="28"/>
              </w:rPr>
              <w:t>供电，重要的还应设置能自动快速启动的柴油发电机组或其他应急电源。</w:t>
            </w:r>
            <w:r>
              <w:rPr>
                <w:rFonts w:hint="default" w:ascii="Times New Roman" w:hAnsi="Times New Roman" w:eastAsia="仿宋_GB2312" w:cs="Times New Roman"/>
                <w:sz w:val="28"/>
                <w:szCs w:val="28"/>
              </w:rPr>
              <w:t>每月进行一次</w:t>
            </w:r>
            <w:r>
              <w:rPr>
                <w:rFonts w:hint="default" w:ascii="Times New Roman" w:hAnsi="Times New Roman" w:eastAsia="仿宋_GB2312" w:cs="Times New Roman"/>
                <w:spacing w:val="-4"/>
                <w:sz w:val="28"/>
                <w:szCs w:val="28"/>
              </w:rPr>
              <w:t>柴油发电机组或其他</w:t>
            </w:r>
            <w:r>
              <w:rPr>
                <w:rFonts w:hint="default" w:ascii="Times New Roman" w:hAnsi="Times New Roman" w:eastAsia="仿宋_GB2312" w:cs="Times New Roman"/>
                <w:sz w:val="28"/>
                <w:szCs w:val="28"/>
              </w:rPr>
              <w:t>应急电源的维护性试运行，以保证泄洪闸门及应急电源的正常运行。</w:t>
            </w:r>
          </w:p>
          <w:p w14:paraId="321A6A2B">
            <w:pPr>
              <w:adjustRightInd w:val="0"/>
              <w:snapToGrid w:val="0"/>
              <w:ind w:firstLine="560"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z w:val="28"/>
                <w:szCs w:val="28"/>
              </w:rPr>
              <w:t>定期（每月至少2次）进行巡查维护（</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w:t>
            </w:r>
            <w:r>
              <w:rPr>
                <w:rFonts w:hint="default" w:ascii="Times New Roman" w:hAnsi="Times New Roman" w:eastAsia="仿宋_GB2312" w:cs="Times New Roman"/>
                <w:spacing w:val="-4"/>
                <w:sz w:val="28"/>
                <w:szCs w:val="28"/>
              </w:rPr>
              <w:t>，做好相关记录</w:t>
            </w:r>
            <w:r>
              <w:rPr>
                <w:rFonts w:hint="default" w:ascii="Times New Roman" w:hAnsi="Times New Roman" w:eastAsia="仿宋_GB2312" w:cs="Times New Roman"/>
                <w:sz w:val="28"/>
                <w:szCs w:val="28"/>
              </w:rPr>
              <w:t>，每年汛前进行检修和启闭试验</w:t>
            </w:r>
            <w:r>
              <w:rPr>
                <w:rFonts w:hint="default" w:ascii="Times New Roman" w:hAnsi="Times New Roman" w:eastAsia="仿宋_GB2312" w:cs="Times New Roman"/>
                <w:spacing w:val="-4"/>
                <w:sz w:val="28"/>
                <w:szCs w:val="28"/>
              </w:rPr>
              <w:t>。</w:t>
            </w:r>
          </w:p>
          <w:p w14:paraId="5B9A20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闸门门体、主梁、支臂、纵梁等构件良好，无超标变形、锈蚀、磨损、表面缺陷和焊缝缺陷，启闭动作正常，锁定装置可靠</w:t>
            </w:r>
          </w:p>
        </w:tc>
        <w:tc>
          <w:tcPr>
            <w:tcW w:w="909" w:type="dxa"/>
            <w:noWrap w:val="0"/>
            <w:vAlign w:val="center"/>
          </w:tcPr>
          <w:p w14:paraId="58DA068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30</w:t>
            </w:r>
          </w:p>
        </w:tc>
        <w:tc>
          <w:tcPr>
            <w:tcW w:w="5580" w:type="dxa"/>
            <w:noWrap w:val="0"/>
            <w:vAlign w:val="center"/>
          </w:tcPr>
          <w:p w14:paraId="3ADD76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3337AF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w:t>
            </w:r>
            <w:r>
              <w:rPr>
                <w:rFonts w:hint="default" w:ascii="Times New Roman" w:hAnsi="Times New Roman" w:eastAsia="仿宋_GB2312" w:cs="Times New Roman"/>
                <w:spacing w:val="-4"/>
                <w:sz w:val="28"/>
                <w:szCs w:val="28"/>
              </w:rPr>
              <w:t>双重电源供电、未配备应急电源的，</w:t>
            </w:r>
            <w:r>
              <w:rPr>
                <w:rFonts w:hint="default" w:ascii="Times New Roman" w:hAnsi="Times New Roman" w:eastAsia="仿宋_GB2312" w:cs="Times New Roman"/>
                <w:sz w:val="28"/>
                <w:szCs w:val="28"/>
              </w:rPr>
              <w:t>扣30分。</w:t>
            </w:r>
          </w:p>
          <w:p w14:paraId="34D3269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应急电源未按规定进行试运行的，扣5分。</w:t>
            </w:r>
          </w:p>
          <w:p w14:paraId="6D89B6F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未按规定定期开展巡查维护，或无相关记录，扣30分。</w:t>
            </w:r>
          </w:p>
          <w:p w14:paraId="2A115E7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汛前泄洪闸门未进行启闭试验，扣10分。</w:t>
            </w:r>
          </w:p>
          <w:p w14:paraId="1F11AE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记录不详实，扣5分。</w:t>
            </w:r>
          </w:p>
          <w:p w14:paraId="3254FE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FC4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A0CDE2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7C1017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4.1.7进、出水口金属结构</w:t>
            </w:r>
          </w:p>
          <w:p w14:paraId="2F8B670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相关设备（包括进水口拦污排、拦污栅、进水口闸门、尾水渠闸门等）定期（每周至少1次）进行巡查维护（</w:t>
            </w:r>
            <w:r>
              <w:rPr>
                <w:rFonts w:hint="default" w:ascii="Times New Roman" w:hAnsi="Times New Roman" w:eastAsia="仿宋_GB2312" w:cs="Times New Roman"/>
                <w:spacing w:val="-4"/>
                <w:sz w:val="28"/>
                <w:szCs w:val="28"/>
              </w:rPr>
              <w:t>集控运维无人值守的电站通过远程监视巡查），做好相关记录</w:t>
            </w:r>
            <w:r>
              <w:rPr>
                <w:rFonts w:hint="default" w:ascii="Times New Roman" w:hAnsi="Times New Roman" w:eastAsia="仿宋_GB2312" w:cs="Times New Roman"/>
                <w:sz w:val="28"/>
                <w:szCs w:val="28"/>
              </w:rPr>
              <w:t>。</w:t>
            </w:r>
          </w:p>
          <w:p w14:paraId="66883B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外观良好，无超标变形、锈蚀、磨损、表面缺陷和焊缝缺陷，启闭动作正常，锁定装置可靠，平压设备（充水阀或旁通阀）可靠</w:t>
            </w:r>
          </w:p>
        </w:tc>
        <w:tc>
          <w:tcPr>
            <w:tcW w:w="909" w:type="dxa"/>
            <w:noWrap w:val="0"/>
            <w:vAlign w:val="center"/>
          </w:tcPr>
          <w:p w14:paraId="3A2E66A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88492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5B7882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77D883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656290F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EBA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6183F4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3BC8A6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4.1.8启闭机</w:t>
            </w:r>
          </w:p>
          <w:p w14:paraId="5380E0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定期（每月至少2次）进行巡查维护（集控运维无人值守的电站通过远程监视巡查），做好相关记录。</w:t>
            </w:r>
          </w:p>
          <w:p w14:paraId="2A4649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工作正常，无渗漏油，电控部分绝缘良好，主要受力构件无明显变形、磨损和裂纹</w:t>
            </w:r>
          </w:p>
        </w:tc>
        <w:tc>
          <w:tcPr>
            <w:tcW w:w="909" w:type="dxa"/>
            <w:noWrap w:val="0"/>
            <w:vAlign w:val="center"/>
          </w:tcPr>
          <w:p w14:paraId="3596423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73DDCE0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9791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552129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290A05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2C9C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20D5B1B">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3F548C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4.1.9水轮机</w:t>
            </w:r>
          </w:p>
          <w:p w14:paraId="5F823A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定期进行巡查、维护和监测。日常运行每8小时至少巡查1次（集控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4AFF4AE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设备外观基本完好，机组振动、摆度、噪声符合标准，稳定性良好；各轴承温度、油质等符合标准且无漏油、甩油现象；主轴密封、导叶套筒密闭性好，全关闭时无严重漏水现象。</w:t>
            </w:r>
          </w:p>
          <w:p w14:paraId="715DB0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设计工况应能达到设计出力指标</w:t>
            </w:r>
          </w:p>
        </w:tc>
        <w:tc>
          <w:tcPr>
            <w:tcW w:w="909" w:type="dxa"/>
            <w:noWrap w:val="0"/>
            <w:vAlign w:val="center"/>
          </w:tcPr>
          <w:p w14:paraId="6A66F79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1AED7AC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C9C55A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未按规定定期开展巡查、维护和监测，或无相关记录，扣3分。</w:t>
            </w:r>
          </w:p>
          <w:p w14:paraId="469AEA5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5B7969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未定期开展维护试验，扣3分。</w:t>
            </w:r>
          </w:p>
          <w:p w14:paraId="4FC3D29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55DC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929B0BE">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54D547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4.1.10调速器</w:t>
            </w:r>
          </w:p>
          <w:p w14:paraId="5DD01F7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定期进行维护、试验。日常运行每8小时至少巡查1次（集控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061B4B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各参数符合设计要求，调节性能良好。在紧急停机时能自动安全关闭，关闭时间符合调保计算要求；调速器油压装置工作正常，无明显渗漏油</w:t>
            </w:r>
          </w:p>
        </w:tc>
        <w:tc>
          <w:tcPr>
            <w:tcW w:w="909" w:type="dxa"/>
            <w:noWrap w:val="0"/>
            <w:vAlign w:val="center"/>
          </w:tcPr>
          <w:p w14:paraId="523657A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407CF7F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1B2A9B7A">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未按规定定期开展巡查，或无相关记录，扣3分。</w:t>
            </w:r>
          </w:p>
          <w:p w14:paraId="32F349FD">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68E0084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未定期维护试验，扣3分。</w:t>
            </w:r>
          </w:p>
          <w:p w14:paraId="1EE46F61">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机组未进行甩负荷试验，扣5分。</w:t>
            </w:r>
          </w:p>
          <w:p w14:paraId="7FB8DD2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C0D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D627892">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138F80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4.1.11主阀</w:t>
            </w:r>
          </w:p>
          <w:p w14:paraId="245853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04A271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关闭严密，传动灵活可靠，启闭阀门时间符合要求，旁通阀门运行正常；主阀油压装置工作正常，无明显渗漏油；主阀系统保护涂料完整，无锈蚀现象</w:t>
            </w:r>
          </w:p>
        </w:tc>
        <w:tc>
          <w:tcPr>
            <w:tcW w:w="909" w:type="dxa"/>
            <w:noWrap w:val="0"/>
            <w:vAlign w:val="center"/>
          </w:tcPr>
          <w:p w14:paraId="3DEE4C0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5D1843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398AB7C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未按规定定期开展巡查维护、试验，或无相关记录，扣3分。</w:t>
            </w:r>
          </w:p>
          <w:p w14:paraId="6F5B31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11FF74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BCC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82E5A1B">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5592D8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4.1.12油气水系统</w:t>
            </w:r>
          </w:p>
          <w:p w14:paraId="2589B1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0E8322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管道设置符合要求，压力正常，无裂损和超标锈蚀，无有害振动、变形和明显渗漏，各阀门防腐涂装到位，密封良好，动作灵活可靠；各类管道测控元件工作可靠，压力泵及控制回路工作正常；储油罐、油处理室整洁</w:t>
            </w:r>
          </w:p>
        </w:tc>
        <w:tc>
          <w:tcPr>
            <w:tcW w:w="909" w:type="dxa"/>
            <w:noWrap w:val="0"/>
            <w:vAlign w:val="center"/>
          </w:tcPr>
          <w:p w14:paraId="40FDD84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0FD57A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E244D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7CF14D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压力不正常，每处扣3分。</w:t>
            </w:r>
          </w:p>
          <w:p w14:paraId="72AFBD3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22F2046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CEF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8B6A8F3">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A130BE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4.1.13发电机</w:t>
            </w:r>
          </w:p>
          <w:p w14:paraId="57D834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无人值守的电站可通过远程监视巡查），做好相关记录。应按规程规定的周期进行维护、检修和试验。</w:t>
            </w:r>
          </w:p>
          <w:p w14:paraId="6D5F500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定、转子温度、温升符合规程要求；轴承、绕组无过热，轴承无渗漏油；机组停机制动安全可靠；定子、转子绕组的绝缘电阻和直流电阻应符合要求；集电环、碳刷工作正常无明显跳火、电灼伤</w:t>
            </w:r>
          </w:p>
        </w:tc>
        <w:tc>
          <w:tcPr>
            <w:tcW w:w="909" w:type="dxa"/>
            <w:noWrap w:val="0"/>
            <w:vAlign w:val="center"/>
          </w:tcPr>
          <w:p w14:paraId="34278F6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40A30E4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F74761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53D8DE6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未按规定的周期开展维护、检修和试验，扣3分。</w:t>
            </w:r>
          </w:p>
          <w:p w14:paraId="3A9D20F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4087A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53C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07B479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7F5C27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4.1.14励磁装置</w:t>
            </w:r>
          </w:p>
          <w:p w14:paraId="16C8080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无人值守的电站可通过远程监视巡查），做好相关记录。</w:t>
            </w:r>
          </w:p>
          <w:p w14:paraId="3919F7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5D2D48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工作正常，调节性能良好，符合规程要求；灭磁开关自动分、合闸性能良好</w:t>
            </w:r>
          </w:p>
        </w:tc>
        <w:tc>
          <w:tcPr>
            <w:tcW w:w="909" w:type="dxa"/>
            <w:noWrap w:val="0"/>
            <w:vAlign w:val="center"/>
          </w:tcPr>
          <w:p w14:paraId="5845C89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F6865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6B33A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02947D4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未按规定的周期开展维护、检修和试验，或无相关记录，扣2分。</w:t>
            </w:r>
          </w:p>
          <w:p w14:paraId="54B66F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131BCE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2AEA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685E84E">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863650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4.1.15变压器</w:t>
            </w:r>
          </w:p>
          <w:p w14:paraId="48549C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4CB48D5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D22BB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变压器应无异常声音，各部件应完整，外观无明显锈蚀，套管无损伤，套管、油枕油色油位正常，吸潮剂未变色；无渗油、无过热现象；安装位置的安全距离等符合规范要求；线圈、套管和变压油的各项试验符合规程或有关规定的要求；压力释放阀或防爆管玻璃完好；温控器正常，风机完好；采用干式变压器的，引线、分接开关、线圈、绝缘等应无明显缺陷</w:t>
            </w:r>
          </w:p>
        </w:tc>
        <w:tc>
          <w:tcPr>
            <w:tcW w:w="909" w:type="dxa"/>
            <w:noWrap w:val="0"/>
            <w:vAlign w:val="center"/>
          </w:tcPr>
          <w:p w14:paraId="5FFA7EA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50B0A91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456126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536B26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未按规定的周期开展维护、检修和试验，或无相关记录，扣3分。</w:t>
            </w:r>
          </w:p>
          <w:p w14:paraId="0242AB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15A0BE7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29C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5D6180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12A92C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4.1.16配电装置</w:t>
            </w:r>
          </w:p>
          <w:p w14:paraId="248818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无人值守的电站运行期可通过远程监视每班巡查），每月按规定时间进行一次闭灯检查，做好相关记录。</w:t>
            </w:r>
          </w:p>
          <w:p w14:paraId="2D1D76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9EA70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断路器及隔离开关操作灵活，动作正确，运行可靠，无明显过热现象，五防闭锁装置完好；断路器、隔离开关额定电压、额定电流、遮断容量等均满足设计要求。</w:t>
            </w:r>
          </w:p>
          <w:p w14:paraId="0D26037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油浸式互感器油色、油位正常，无渗漏油。</w:t>
            </w:r>
          </w:p>
          <w:p w14:paraId="48C787A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高压熔断器无电腐蚀现象；电缆应挂牌，绝缘层良好，无脱落、剥落、龟裂等现象，母线、支持绝缘子及构架能满足安全运行的要求，无过热现象，安装、敷设、防火符合规程规定</w:t>
            </w:r>
          </w:p>
        </w:tc>
        <w:tc>
          <w:tcPr>
            <w:tcW w:w="909" w:type="dxa"/>
            <w:noWrap w:val="0"/>
            <w:vAlign w:val="center"/>
          </w:tcPr>
          <w:p w14:paraId="6231C50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62C22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082B6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5C2D74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5878ACC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0B8E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02F3BC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A10E22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4.1.17测控及保护装置</w:t>
            </w:r>
          </w:p>
          <w:p w14:paraId="0811FC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41E2FFE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各部分测控及保护装置正常、动作可靠，信号装置、指示仪表指示正确，无过热现象；配线整齐，接线正确，并有符合实际的接线图；保护定值符合要求</w:t>
            </w:r>
          </w:p>
        </w:tc>
        <w:tc>
          <w:tcPr>
            <w:tcW w:w="909" w:type="dxa"/>
            <w:noWrap w:val="0"/>
            <w:vAlign w:val="center"/>
          </w:tcPr>
          <w:p w14:paraId="4662C2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3D507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DC7D76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7DCA6CE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09530EE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2FF4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B1F4139">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D6DEE7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w:t>
            </w:r>
            <w:bookmarkStart w:id="6" w:name="_Hlk152507508"/>
            <w:r>
              <w:rPr>
                <w:rFonts w:hint="default" w:ascii="Times New Roman" w:hAnsi="Times New Roman" w:eastAsia="仿宋_GB2312" w:cs="Times New Roman"/>
                <w:sz w:val="28"/>
                <w:szCs w:val="28"/>
              </w:rPr>
              <w:t>18集控设备</w:t>
            </w:r>
            <w:bookmarkEnd w:id="6"/>
          </w:p>
          <w:p w14:paraId="5621836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实现集控运维的，每班应对主机</w:t>
            </w:r>
            <w:r>
              <w:rPr>
                <w:rFonts w:hint="default" w:ascii="Times New Roman" w:hAnsi="Times New Roman" w:cs="Times New Roman"/>
                <w:sz w:val="28"/>
                <w:szCs w:val="28"/>
              </w:rPr>
              <w:t>/</w:t>
            </w:r>
            <w:r>
              <w:rPr>
                <w:rFonts w:hint="default" w:ascii="Times New Roman" w:hAnsi="Times New Roman" w:eastAsia="仿宋_GB2312" w:cs="Times New Roman"/>
                <w:sz w:val="28"/>
                <w:szCs w:val="28"/>
              </w:rPr>
              <w:t>操作员工作站、通信工作站、工程师工作站、视频工作站、数据服务器、GPS卫星时钟、大屏幕、显示器、打印机、UPS电源、网络交换机等硬件设备及网络条件进行检查，并做好记录。</w:t>
            </w:r>
          </w:p>
          <w:p w14:paraId="7377E1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按规定定期对软件功能进行检查与检测，重要数据定期备份（含自动备份），病毒扫查，并记录。</w:t>
            </w:r>
          </w:p>
          <w:p w14:paraId="22DEEE0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按规定定期做好与现地控制设备的通信检查检测并记录</w:t>
            </w:r>
          </w:p>
        </w:tc>
        <w:tc>
          <w:tcPr>
            <w:tcW w:w="909" w:type="dxa"/>
            <w:noWrap w:val="0"/>
            <w:vAlign w:val="center"/>
          </w:tcPr>
          <w:p w14:paraId="633FE9C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29B64A6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63F65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未按照规定进行检查，或未做好记录，扣5分。</w:t>
            </w:r>
          </w:p>
          <w:p w14:paraId="658CAA8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未按规定备份，每次扣3分</w:t>
            </w:r>
          </w:p>
        </w:tc>
      </w:tr>
      <w:tr w14:paraId="32E8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43A8386">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594ED3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4.1.19防雷和接地</w:t>
            </w:r>
          </w:p>
          <w:p w14:paraId="191C09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无人值守的电站运行期可每班巡查），做好相关记录。</w:t>
            </w:r>
          </w:p>
          <w:p w14:paraId="1EDD38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每年雷雨季节前进行一次防雷检测。防雷装置配置齐全完整，接地装置以及接地电阻符合规程要求</w:t>
            </w:r>
          </w:p>
        </w:tc>
        <w:tc>
          <w:tcPr>
            <w:tcW w:w="909" w:type="dxa"/>
            <w:noWrap w:val="0"/>
            <w:vAlign w:val="center"/>
          </w:tcPr>
          <w:p w14:paraId="249AFD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AC90B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47AF9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未按规定开展，或无相关记录，扣2分。</w:t>
            </w:r>
          </w:p>
          <w:p w14:paraId="68B9BF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00E42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有相关缺陷，扣3分</w:t>
            </w:r>
          </w:p>
        </w:tc>
      </w:tr>
      <w:tr w14:paraId="539B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5B4D4C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29AEDC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4.1.20厂用电与直流系统</w:t>
            </w:r>
          </w:p>
          <w:p w14:paraId="2DDE47F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09CD0D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厂用电应供电可靠。直流系统容量、电压、对地绝缘应满足要求。事故照明应规范设置，性能可靠</w:t>
            </w:r>
          </w:p>
        </w:tc>
        <w:tc>
          <w:tcPr>
            <w:tcW w:w="909" w:type="dxa"/>
            <w:noWrap w:val="0"/>
            <w:vAlign w:val="center"/>
          </w:tcPr>
          <w:p w14:paraId="6AC7412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34F660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22D010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084753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5D8D05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4C3C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CEE38D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8EB336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4.1.21通信系统</w:t>
            </w:r>
          </w:p>
          <w:p w14:paraId="043BCF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话务通讯和集控调度网络通信系统按规程规定的周期进行维护、检修和试验，运行可靠，满足设备运行或调度要求</w:t>
            </w:r>
          </w:p>
        </w:tc>
        <w:tc>
          <w:tcPr>
            <w:tcW w:w="909" w:type="dxa"/>
            <w:noWrap w:val="0"/>
            <w:vAlign w:val="center"/>
          </w:tcPr>
          <w:p w14:paraId="2B03DCA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FC254E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515825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6DF5D5A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47AF286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有相关缺陷，每项扣2分</w:t>
            </w:r>
          </w:p>
        </w:tc>
      </w:tr>
      <w:tr w14:paraId="772A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622050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F6D13D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4.1.22特种设备</w:t>
            </w:r>
          </w:p>
          <w:p w14:paraId="0F3D02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起重设备、压力容器等特种设备按规定进行登记、建档、使用、维护保养、自检、定期检验以及报废，并做好相关记录；应明确管理人员、操作人员。</w:t>
            </w:r>
          </w:p>
          <w:p w14:paraId="116825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特种设备技术档案包括设计文件、制造单位、产品质量合格证明、使用维护说明等文件以及安装技术文件和资料。</w:t>
            </w:r>
          </w:p>
          <w:p w14:paraId="4B4729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日常使用状况、维护保养、自检、定期检验等有关记录齐全规范。</w:t>
            </w:r>
          </w:p>
          <w:p w14:paraId="2E4440A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安全附件、安全保护装置等符合有关规定。</w:t>
            </w:r>
          </w:p>
          <w:p w14:paraId="04A0339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达到报废条件的及时向有关部门申请办理注销</w:t>
            </w:r>
          </w:p>
        </w:tc>
        <w:tc>
          <w:tcPr>
            <w:tcW w:w="909" w:type="dxa"/>
            <w:noWrap w:val="0"/>
            <w:vAlign w:val="center"/>
          </w:tcPr>
          <w:p w14:paraId="08A9963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3D73AC6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FF3E0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未按规定登记、建档、维护保养、自检，并做好记录，每套设备扣5分。</w:t>
            </w:r>
          </w:p>
          <w:p w14:paraId="6749D1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未明确相应设备特种管理人员、操作人员，每套设备扣1分。</w:t>
            </w:r>
          </w:p>
          <w:p w14:paraId="20A2BD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安全附件、安全保护装置等不符合有关规定，每套设备扣2分。</w:t>
            </w:r>
          </w:p>
          <w:p w14:paraId="15717A4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达到报废条件未按规定办理注销，每套设备扣3分</w:t>
            </w:r>
          </w:p>
        </w:tc>
      </w:tr>
      <w:tr w14:paraId="6228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C623386">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0AE17A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4.1.23备品备件</w:t>
            </w:r>
          </w:p>
          <w:p w14:paraId="24FEF8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易损件如密封胶、垫、圈、熔丝、接触器、线圈等应有现场和库存备品备件。备品备件的采购、保管和使用应形成记录</w:t>
            </w:r>
          </w:p>
        </w:tc>
        <w:tc>
          <w:tcPr>
            <w:tcW w:w="909" w:type="dxa"/>
            <w:noWrap w:val="0"/>
            <w:vAlign w:val="center"/>
          </w:tcPr>
          <w:p w14:paraId="1C75292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8C5AB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8221DF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无备品备件，扣5分。</w:t>
            </w:r>
          </w:p>
          <w:p w14:paraId="3ED877F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备品备件不全，扣2分。</w:t>
            </w:r>
          </w:p>
          <w:p w14:paraId="17C824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未按规定形成记录，扣2分</w:t>
            </w:r>
          </w:p>
        </w:tc>
      </w:tr>
      <w:tr w14:paraId="5522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746552A">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D3DBED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4.1.24设施设备评级</w:t>
            </w:r>
          </w:p>
          <w:p w14:paraId="2E673F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按照SL/T 529规定，每年至少开展1次设备评级</w:t>
            </w:r>
          </w:p>
        </w:tc>
        <w:tc>
          <w:tcPr>
            <w:tcW w:w="909" w:type="dxa"/>
            <w:noWrap w:val="0"/>
            <w:vAlign w:val="center"/>
          </w:tcPr>
          <w:p w14:paraId="79AA4E5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56A82F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4DC0B1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未按规程规定的周期开展，或无相关记录，扣5分。</w:t>
            </w:r>
          </w:p>
          <w:p w14:paraId="74F08B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设施设备级别未达到规程要求，每项扣2分</w:t>
            </w:r>
          </w:p>
        </w:tc>
      </w:tr>
      <w:tr w14:paraId="63AC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7608D4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0260669">
            <w:pPr>
              <w:adjustRightInd w:val="0"/>
              <w:snapToGrid w:val="0"/>
              <w:rPr>
                <w:rFonts w:hint="default" w:ascii="Times New Roman" w:hAnsi="Times New Roman" w:eastAsia="仿宋_GB2312" w:cs="Times New Roman"/>
                <w:sz w:val="28"/>
                <w:szCs w:val="28"/>
              </w:rPr>
            </w:pPr>
            <w:bookmarkStart w:id="7" w:name="_Hlk152512545"/>
            <w:r>
              <w:rPr>
                <w:rFonts w:hint="default" w:ascii="Times New Roman" w:hAnsi="Times New Roman" w:eastAsia="仿宋_GB2312" w:cs="Times New Roman"/>
                <w:sz w:val="28"/>
                <w:szCs w:val="28"/>
              </w:rPr>
              <w:t>4.1.25设备标识</w:t>
            </w:r>
            <w:bookmarkEnd w:id="7"/>
          </w:p>
          <w:p w14:paraId="69138F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按照调度规程要求标识电气主接线图所涉及的电气设备；按照SL/T 529标识其他设备。</w:t>
            </w:r>
          </w:p>
          <w:p w14:paraId="64B8347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设备名称、编号、责任人、评级结果、手轮开关方向及阀位指示、旋转设备方向、充油设备油位上下限等应齐全、清晰、规范。管道色标或色环及流向标志应齐全、清楚、正确。</w:t>
            </w:r>
          </w:p>
          <w:p w14:paraId="2B6B07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特种设备、安全工器具等需要定期检验检测的，检测合格后应张贴检验检测合格标识</w:t>
            </w:r>
          </w:p>
        </w:tc>
        <w:tc>
          <w:tcPr>
            <w:tcW w:w="909" w:type="dxa"/>
            <w:noWrap w:val="0"/>
            <w:vAlign w:val="center"/>
          </w:tcPr>
          <w:p w14:paraId="7BF9E25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561DD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0EA55D7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设备无名称、编号，每台套扣2分。</w:t>
            </w:r>
          </w:p>
          <w:p w14:paraId="712C2E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设备名称编号混乱，或有缺项，无设备责任人（设备主人），无评级结果（按时更新），每台套扣1分；大小比例、颜色、字体不符合要求，每处扣1分。</w:t>
            </w:r>
          </w:p>
          <w:p w14:paraId="53F24A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管道色标或色环及流向标志不全，每处扣1分。</w:t>
            </w:r>
          </w:p>
          <w:p w14:paraId="063C3D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未张贴检验检测合格标识，每套设备或每副安全工器具扣1分</w:t>
            </w:r>
          </w:p>
        </w:tc>
      </w:tr>
      <w:tr w14:paraId="3313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BF8FAF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E42956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4.1.26设备运行</w:t>
            </w:r>
          </w:p>
          <w:p w14:paraId="53C3C8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按SL/T 529规定，现场配备和悬挂相关图表，指导设备运行。</w:t>
            </w:r>
          </w:p>
          <w:p w14:paraId="6FD688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根据运行规程做好设备的操作、维护和监视，记录好设备的运行方式、参数、操作、变位、信号等，合理调整设备状态参数，正确处理设备异常情况。</w:t>
            </w:r>
          </w:p>
          <w:p w14:paraId="3E0D84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交接班、设备巡回检查、设备定期试验与轮换“三项”制度，按要求做好交接班准备工作，填写各项记录，办理交接班手续；按规定时间、内容及线路对设备进行巡回检查，随时掌握设备运行状况；按规定时间和方法进行设备定期轮换和试验工作，做好相关记录</w:t>
            </w:r>
          </w:p>
        </w:tc>
        <w:tc>
          <w:tcPr>
            <w:tcW w:w="909" w:type="dxa"/>
            <w:noWrap w:val="0"/>
            <w:vAlign w:val="center"/>
          </w:tcPr>
          <w:p w14:paraId="6F6D6E0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774E2B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71286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未按规定配备和悬挂相关图表，每项扣1分。</w:t>
            </w:r>
          </w:p>
          <w:p w14:paraId="7D7836C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无相关记录，扣10分；无交接班记录，扣2分；无巡回检查记录，扣2分；设备定期轮换和试验工作未执行或执行不到位，扣2分。</w:t>
            </w:r>
          </w:p>
          <w:p w14:paraId="67A547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记录数据不真实、不满足安全运行需求，每项扣2分</w:t>
            </w:r>
          </w:p>
        </w:tc>
      </w:tr>
      <w:tr w14:paraId="3799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FA6884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0A8AC0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4.1.27设备故障处理</w:t>
            </w:r>
          </w:p>
          <w:p w14:paraId="086A84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按照运行规程规定的流程及方法处理故障，并及时记录故障发生的时间、设备名称、现象、后果、原因及设备缺陷状态，及时报告生技部门安排维修。短期内处理不了的缺陷应说明原因，并采取相应的防范措施</w:t>
            </w:r>
          </w:p>
        </w:tc>
        <w:tc>
          <w:tcPr>
            <w:tcW w:w="909" w:type="dxa"/>
            <w:noWrap w:val="0"/>
            <w:vAlign w:val="center"/>
          </w:tcPr>
          <w:p w14:paraId="6CF4F51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03420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61676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未及时通知维修，扣5分。</w:t>
            </w:r>
          </w:p>
          <w:p w14:paraId="4AE18A2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缺陷通知发出后未及时处理，每次扣2分。</w:t>
            </w:r>
          </w:p>
          <w:p w14:paraId="0C4608F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短期内处理不了的缺陷未说明原因，或未采取防范措施，扣2分</w:t>
            </w:r>
          </w:p>
        </w:tc>
      </w:tr>
      <w:tr w14:paraId="3CE6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5257BC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7E2447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4.1.28设备检修</w:t>
            </w:r>
          </w:p>
          <w:p w14:paraId="2A74932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根据检修规程、试验规程，编制检修计划和方案，明确检修人员、安全措施、检修质量、检修进度、验收要求，各种检修记录规范</w:t>
            </w:r>
          </w:p>
        </w:tc>
        <w:tc>
          <w:tcPr>
            <w:tcW w:w="909" w:type="dxa"/>
            <w:noWrap w:val="0"/>
            <w:vAlign w:val="center"/>
          </w:tcPr>
          <w:p w14:paraId="40BA268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3FECD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C0DB2D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未制定检修计划，扣10分。</w:t>
            </w:r>
          </w:p>
          <w:p w14:paraId="3462BA1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内容不全，每缺一项扣3分。</w:t>
            </w:r>
          </w:p>
          <w:p w14:paraId="53B19B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检修、试验、验收记录不完整，每项扣2分。</w:t>
            </w:r>
          </w:p>
          <w:p w14:paraId="07E1072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存在遗留问题，每项扣5分</w:t>
            </w:r>
          </w:p>
        </w:tc>
      </w:tr>
      <w:tr w14:paraId="2A73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6323A2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F21B2D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4.1.29设备报废拆除</w:t>
            </w:r>
          </w:p>
          <w:p w14:paraId="2A4FEB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设备存在严重安全隐患，无改造、维修价值，或者超过规定使用年限，应当及时报废；设备报废应严格执行相关程序；已报废的设备应及时拆除，退出现场</w:t>
            </w:r>
          </w:p>
        </w:tc>
        <w:tc>
          <w:tcPr>
            <w:tcW w:w="909" w:type="dxa"/>
            <w:noWrap w:val="0"/>
            <w:vAlign w:val="center"/>
          </w:tcPr>
          <w:p w14:paraId="5587CFA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2358226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18C1DA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达到报废条件的设备未报废，扣15分。</w:t>
            </w:r>
          </w:p>
          <w:p w14:paraId="3DB1AA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已报废的设备未及时拆除退出生产现场，每台套扣2分</w:t>
            </w:r>
          </w:p>
        </w:tc>
      </w:tr>
      <w:tr w14:paraId="1C3F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D786D8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C462AA6">
            <w:pPr>
              <w:adjustRightInd w:val="0"/>
              <w:snapToGrid w:val="0"/>
              <w:rPr>
                <w:rFonts w:hint="default" w:ascii="Times New Roman" w:hAnsi="Times New Roman" w:eastAsia="仿宋_GB2312" w:cs="Times New Roman"/>
                <w:sz w:val="28"/>
                <w:szCs w:val="28"/>
              </w:rPr>
            </w:pPr>
            <w:bookmarkStart w:id="8" w:name="_Hlk152512590"/>
            <w:r>
              <w:rPr>
                <w:rFonts w:hint="default" w:ascii="Times New Roman" w:hAnsi="Times New Roman" w:eastAsia="仿宋_GB2312" w:cs="Times New Roman"/>
                <w:sz w:val="28"/>
                <w:szCs w:val="28"/>
              </w:rPr>
              <w:t>4.1.30</w:t>
            </w:r>
            <w:bookmarkEnd w:id="8"/>
            <w:r>
              <w:rPr>
                <w:rFonts w:hint="default" w:ascii="Times New Roman" w:hAnsi="Times New Roman" w:eastAsia="仿宋_GB2312" w:cs="Times New Roman"/>
                <w:sz w:val="28"/>
                <w:szCs w:val="28"/>
              </w:rPr>
              <w:t>设施设备总体面貌</w:t>
            </w:r>
          </w:p>
          <w:p w14:paraId="00F704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库区、厂区等管理范围内环境整洁良好，标识规范，内部道路路面平整，照明设施齐全完好，排水应畅通，护坡挡土墙应完好。建筑物门窗完好，外立面及内墙整洁，无粉刷层脱落。</w:t>
            </w:r>
          </w:p>
          <w:p w14:paraId="308561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厂区与生活区、储存区有效隔离（不设置在同一连通的场所），不得饲养家禽、家畜。</w:t>
            </w:r>
          </w:p>
          <w:p w14:paraId="6D22E2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设备整洁、卫生，屏、柜内无积灰、油污，无小动物活动痕迹，水管、油管及其附近无明显积水和污渍。</w:t>
            </w:r>
          </w:p>
          <w:p w14:paraId="356866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建有密闭的废油等危废存储库或封闭的隔离空间，严格废油等危废收集、存放、转运、处理，并建立管理台账。</w:t>
            </w:r>
          </w:p>
          <w:p w14:paraId="37AE3C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有生产固态垃圾和生活垃圾处置设施或定期集中转运垃圾站处理，生活污水经过处理合格后排放</w:t>
            </w:r>
          </w:p>
        </w:tc>
        <w:tc>
          <w:tcPr>
            <w:tcW w:w="909" w:type="dxa"/>
            <w:noWrap w:val="0"/>
            <w:vAlign w:val="center"/>
          </w:tcPr>
          <w:p w14:paraId="4362F5B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551769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3E7C4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厂区与生活区、储存区未有效隔离，扣20分。</w:t>
            </w:r>
          </w:p>
          <w:p w14:paraId="146437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坝区、厂区设施标志不清或存在明显瑕疵，巡查路线、紧急逃生路线、消防设施布置等标志有缺项，每处扣2分。</w:t>
            </w:r>
          </w:p>
          <w:p w14:paraId="16C198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坝区、厂区设备内外卫生状况差，每台套扣2分；无防小动物设施的，每处扣2分。</w:t>
            </w:r>
          </w:p>
          <w:p w14:paraId="6C0AC2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在厂区范围内饲养家禽、家畜，扣3分。</w:t>
            </w:r>
          </w:p>
          <w:p w14:paraId="747D087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废油等危废未设置密闭的存储库或封闭的隔离空间的，扣10分；既未配备滤油器等自行处理设备又未与有资质单位签署回收合同，扣10分；未建立管理台账，扣3分。</w:t>
            </w:r>
          </w:p>
          <w:p w14:paraId="0A2ECC3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生产固态垃圾、生活垃圾和生活污水未采取处理措施，扣5分；生产生活污水直接排放，扣20分</w:t>
            </w:r>
          </w:p>
        </w:tc>
      </w:tr>
      <w:tr w14:paraId="504F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482280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4.2作业安全（145分）</w:t>
            </w:r>
          </w:p>
        </w:tc>
        <w:tc>
          <w:tcPr>
            <w:tcW w:w="5869" w:type="dxa"/>
            <w:noWrap w:val="0"/>
            <w:vAlign w:val="center"/>
          </w:tcPr>
          <w:p w14:paraId="161433B3">
            <w:pPr>
              <w:adjustRightInd w:val="0"/>
              <w:snapToGrid w:val="0"/>
              <w:spacing w:before="60" w:beforeLines="25" w:after="60" w:afterLines="25"/>
              <w:rPr>
                <w:rFonts w:hint="default" w:ascii="Times New Roman" w:hAnsi="Times New Roman" w:eastAsia="仿宋_GB2312" w:cs="Times New Roman"/>
                <w:sz w:val="28"/>
                <w:szCs w:val="28"/>
              </w:rPr>
            </w:pPr>
            <w:bookmarkStart w:id="9" w:name="_Hlk152749802"/>
            <w:r>
              <w:rPr>
                <w:rFonts w:hint="default" w:ascii="Times New Roman" w:hAnsi="Times New Roman" w:eastAsia="仿宋_GB2312" w:cs="Times New Roman"/>
                <w:sz w:val="28"/>
                <w:szCs w:val="28"/>
              </w:rPr>
              <w:t>4.2.1作业安全环境</w:t>
            </w:r>
            <w:bookmarkEnd w:id="9"/>
          </w:p>
          <w:p w14:paraId="68066EA5">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生产现场的楼梯口、吊装孔、集水井、闸门升降口、前池、尾水平台、临边、临空面等可能影响作业安全场所按规定设置护栏或盖板等，护栏高度应不低于1.2米，盖板尺寸和强度应符合要求，并做好相应标识；对裸露带电体部分应有符合规定的安全距离或遮拦护板等；应有防转动机械伤害的防护罩或警示标识；应有应急照明、楼层标识和安全通道等</w:t>
            </w:r>
          </w:p>
        </w:tc>
        <w:tc>
          <w:tcPr>
            <w:tcW w:w="909" w:type="dxa"/>
            <w:noWrap w:val="0"/>
            <w:vAlign w:val="center"/>
          </w:tcPr>
          <w:p w14:paraId="5455BFB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30</w:t>
            </w:r>
          </w:p>
        </w:tc>
        <w:tc>
          <w:tcPr>
            <w:tcW w:w="5580" w:type="dxa"/>
            <w:noWrap w:val="0"/>
            <w:vAlign w:val="center"/>
          </w:tcPr>
          <w:p w14:paraId="544F24F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6BB67E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安全设施不符合安全要求，每项扣3分。</w:t>
            </w:r>
          </w:p>
          <w:p w14:paraId="5BD1267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标识不符合要求或不清晰，每处扣3分。</w:t>
            </w:r>
          </w:p>
          <w:p w14:paraId="7138D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应急照明不能正常工作，每处扣3分。</w:t>
            </w:r>
          </w:p>
          <w:p w14:paraId="1081BC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逃生路线标识不清或通道不畅通，扣3分</w:t>
            </w:r>
          </w:p>
        </w:tc>
      </w:tr>
      <w:tr w14:paraId="6A38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B0A33D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A08A97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4.2.2消防管理</w:t>
            </w:r>
          </w:p>
          <w:p w14:paraId="0DAF618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按照本工程消防设计和规程规定，重点部位和场所（升压站、油存储库等）配备种类适合和数量足够的消防设施、器材，并完好有效。消防设施、器材位置固定，摆放合理，便于取用。</w:t>
            </w:r>
          </w:p>
          <w:p w14:paraId="7642E98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电缆孔洞应封堵，电缆沟防火墙设置、防火涂料涂刷、电缆桥架防火分隔应符合规范或设计要求。主要消防控制室应采取防水淹、防潮、防啮齿动物等措施（挡鼠板高度不低于40厘米）。</w:t>
            </w:r>
          </w:p>
          <w:p w14:paraId="6504EA3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主要通道的门可双向开启或向外开启（逃生方向），安全出口及逃生路线标识清晰。</w:t>
            </w:r>
          </w:p>
          <w:p w14:paraId="6AC4321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建立消防设施、器材台账，防火重点部位或场所档案。定期（每月至少一次）对消防设施进行巡查，每年至少开展一次消防系统检查。</w:t>
            </w:r>
          </w:p>
          <w:p w14:paraId="010A3AD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严格执行动火审批制度；开展消防演练</w:t>
            </w:r>
          </w:p>
        </w:tc>
        <w:tc>
          <w:tcPr>
            <w:tcW w:w="909" w:type="dxa"/>
            <w:noWrap w:val="0"/>
            <w:vAlign w:val="center"/>
          </w:tcPr>
          <w:p w14:paraId="6AB6D76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9DC92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79D89F9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不满足消防要求，扣10分。</w:t>
            </w:r>
          </w:p>
          <w:p w14:paraId="1CEFD15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消防设施、器材，每处扣2分；消防设施、器材失效或存在瑕疵（例如：灭火器过期或压力不足，升压站消防砂池无盖板等防护，消防砂结块影响使用等），每处扣2分；消防设施、器材位置不固定，摆放不合理，每处扣1分。</w:t>
            </w:r>
          </w:p>
          <w:p w14:paraId="4FE8ECA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电缆消防措施不符合要求，扣2分；主要消防控制室未采取防水淹、防潮、防啮齿动物等措施，每处扣1分。</w:t>
            </w:r>
          </w:p>
          <w:p w14:paraId="6CDF9A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未建立消防设施、器材台账，扣2分；未建立防火重点部位或场所档案，扣2分；未定期对消防设施进行巡查，扣2分；年度内未开展一次消防检查，扣3分。</w:t>
            </w:r>
          </w:p>
          <w:p w14:paraId="101D74E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未严格执行动火审批制度，扣10分。</w:t>
            </w:r>
          </w:p>
          <w:p w14:paraId="3E0AA8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未开展消防演练，扣3分</w:t>
            </w:r>
          </w:p>
        </w:tc>
      </w:tr>
      <w:tr w14:paraId="536C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F24AEA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E96D2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4.2.3作业“两票”执行</w:t>
            </w:r>
          </w:p>
          <w:p w14:paraId="5BC5039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工作票、操作票制度。对设备运行状态转换的操作，应严格按规定使用操作票，并按“模拟、复诵”制执行；对在机械、电气设备等作业的工作，应严格按规定使用工作票，且应严格执行工作许可制、工作监护制和工作间断、转移和终结制，按规定做好安全交底。严禁违章作业。</w:t>
            </w:r>
          </w:p>
          <w:p w14:paraId="0558F656">
            <w:pPr>
              <w:adjustRightInd w:val="0"/>
              <w:snapToGrid w:val="0"/>
              <w:ind w:firstLine="560" w:firstLineChars="200"/>
              <w:rPr>
                <w:rFonts w:hint="default" w:ascii="Times New Roman" w:hAnsi="Times New Roman" w:eastAsia="仿宋_GB2312" w:cs="Times New Roman"/>
                <w:sz w:val="28"/>
                <w:szCs w:val="28"/>
              </w:rPr>
            </w:pPr>
            <w:bookmarkStart w:id="10" w:name="_Hlk152505783"/>
            <w:r>
              <w:rPr>
                <w:rFonts w:hint="default" w:ascii="Times New Roman" w:hAnsi="Times New Roman" w:eastAsia="仿宋_GB2312" w:cs="Times New Roman"/>
                <w:sz w:val="28"/>
                <w:szCs w:val="28"/>
              </w:rPr>
              <w:t>集控运维无人值守的电站，经由键盘一个指令完成的操作，可不使用操作票</w:t>
            </w:r>
            <w:bookmarkEnd w:id="10"/>
            <w:r>
              <w:rPr>
                <w:rFonts w:hint="default" w:ascii="Times New Roman" w:hAnsi="Times New Roman" w:eastAsia="仿宋_GB2312" w:cs="Times New Roman"/>
                <w:sz w:val="28"/>
                <w:szCs w:val="28"/>
              </w:rPr>
              <w:t>，但应有操作记录（可由计算机自动生成）</w:t>
            </w:r>
          </w:p>
        </w:tc>
        <w:tc>
          <w:tcPr>
            <w:tcW w:w="909" w:type="dxa"/>
            <w:noWrap w:val="0"/>
            <w:vAlign w:val="center"/>
          </w:tcPr>
          <w:p w14:paraId="24D0434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50</w:t>
            </w:r>
          </w:p>
        </w:tc>
        <w:tc>
          <w:tcPr>
            <w:tcW w:w="5580" w:type="dxa"/>
            <w:noWrap w:val="0"/>
            <w:vAlign w:val="center"/>
          </w:tcPr>
          <w:p w14:paraId="5853497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21C41CF">
            <w:pPr>
              <w:adjustRightInd w:val="0"/>
              <w:snapToGrid w:val="0"/>
              <w:ind w:firstLine="560" w:firstLineChars="200"/>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rPr>
              <w:t>未将有权签发“两票”的人员正式文件公布，扣5分。</w:t>
            </w:r>
          </w:p>
          <w:p w14:paraId="75B16CEC">
            <w:pPr>
              <w:adjustRightInd w:val="0"/>
              <w:snapToGrid w:val="0"/>
              <w:ind w:firstLine="560" w:firstLineChars="200"/>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rPr>
              <w:t>按规定应执行而未执行操作票、工作票，扣50分；未按规定做好安全交底，每次扣3分。</w:t>
            </w:r>
          </w:p>
          <w:p w14:paraId="6A5AB0D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操作票、工作票不合格，每张扣5分。</w:t>
            </w:r>
          </w:p>
          <w:p w14:paraId="5C2C47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“两票”</w:t>
            </w:r>
            <w:r>
              <w:rPr>
                <w:rFonts w:hint="default" w:ascii="Times New Roman" w:hAnsi="Times New Roman" w:eastAsia="仿宋_GB2312" w:cs="Times New Roman"/>
                <w:sz w:val="28"/>
                <w:szCs w:val="28"/>
              </w:rPr>
              <w:t>执行不严格、不规范，每张扣5分。</w:t>
            </w:r>
          </w:p>
          <w:p w14:paraId="1EF1C1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未做好操作或工作记录，每次扣3分。</w:t>
            </w:r>
          </w:p>
          <w:p w14:paraId="72AA336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记录不完整、不详实，每次扣2分。</w:t>
            </w:r>
          </w:p>
          <w:p w14:paraId="7CDCB5B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未执行工作许可制、工作监护制和工作转移终结制，扣30分</w:t>
            </w:r>
          </w:p>
        </w:tc>
      </w:tr>
      <w:tr w14:paraId="0C31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7D1317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B6AD5E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4.2.4作业安全技术措施</w:t>
            </w:r>
          </w:p>
          <w:p w14:paraId="1BA1EE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应根据不同的工作任务（包括高空作业、有限空间作业等）按照GB 26860采取相应的保证安全的技术措施（包括但不限于：停电、验电、装设接地线、悬挂标识牌装设遮拦等），并有实施技术措施的安全工器具，包括绝缘操作杆、绝缘夹钳、绝缘手套、绝缘靴、验电器、接地线、标示牌、安全遮栏等；安全工器具数量合理，定期试验合格，按用途和类别摆放规范、整齐</w:t>
            </w:r>
          </w:p>
        </w:tc>
        <w:tc>
          <w:tcPr>
            <w:tcW w:w="909" w:type="dxa"/>
            <w:noWrap w:val="0"/>
            <w:vAlign w:val="center"/>
          </w:tcPr>
          <w:p w14:paraId="3F8A2B3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1226085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查“两票”记录并现场检查。</w:t>
            </w:r>
          </w:p>
          <w:p w14:paraId="7A123B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未按工作票实施安全技术措施，扣20分。</w:t>
            </w:r>
          </w:p>
          <w:p w14:paraId="3BC460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未配置必要的安全工器具，扣5分。</w:t>
            </w:r>
          </w:p>
          <w:p w14:paraId="22ED2EE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安全工器具不全或数量不足，每项扣3分。</w:t>
            </w:r>
          </w:p>
          <w:p w14:paraId="03D6F1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安全工器具未按规定做试验，每项扣5分。</w:t>
            </w:r>
          </w:p>
          <w:p w14:paraId="5EBFC8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安全器具未按用途和类别摆放规范、整齐，扣5分</w:t>
            </w:r>
          </w:p>
        </w:tc>
      </w:tr>
      <w:tr w14:paraId="3D40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634B69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BB539C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4.2.5调度及运行方式</w:t>
            </w:r>
          </w:p>
          <w:p w14:paraId="0FFE67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应根据作业任务向电力调度中心申请适宜的运行方式，并严格执行调度命令，落实调度指令，做好调度命令及执行情况记录</w:t>
            </w:r>
          </w:p>
        </w:tc>
        <w:tc>
          <w:tcPr>
            <w:tcW w:w="909" w:type="dxa"/>
            <w:noWrap w:val="0"/>
            <w:vAlign w:val="center"/>
          </w:tcPr>
          <w:p w14:paraId="071C35A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6FB0C22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28189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未获得调度命令擅自改变运行方式，扣10分。</w:t>
            </w:r>
          </w:p>
          <w:p w14:paraId="42AA7DB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违反调度命令，扣10分。</w:t>
            </w:r>
          </w:p>
          <w:p w14:paraId="651363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未做好记录，每次扣3分</w:t>
            </w:r>
          </w:p>
        </w:tc>
      </w:tr>
      <w:tr w14:paraId="5363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0E1811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AE9595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4.2.6作业组织指挥与监督</w:t>
            </w:r>
          </w:p>
          <w:p w14:paraId="1F0B0DF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大修和多工作面作业的，应制定作业任务实施的组织方案，加强对生产作业安全的组织和管理，对同一作业任务相关单位实行统一指挥；安监部门要对作业过程进行监督，杜绝违章作业和违章指挥；生产技术管理机构（安监部门）或安全生产管理机构（生技部门）应对作业任务的实施和监督做好记录</w:t>
            </w:r>
          </w:p>
        </w:tc>
        <w:tc>
          <w:tcPr>
            <w:tcW w:w="909" w:type="dxa"/>
            <w:noWrap w:val="0"/>
            <w:vAlign w:val="center"/>
          </w:tcPr>
          <w:p w14:paraId="70A73A7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2A0B07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查看作业资料和记录。</w:t>
            </w:r>
          </w:p>
          <w:p w14:paraId="5636CE7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未制定组织方案，扣10分。</w:t>
            </w:r>
          </w:p>
          <w:p w14:paraId="3F7BBC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未实行统一指挥，扣10分。</w:t>
            </w:r>
          </w:p>
          <w:p w14:paraId="39D37F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有违章行为，扣15分。</w:t>
            </w:r>
          </w:p>
          <w:p w14:paraId="7C501D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未做好记录，扣5分</w:t>
            </w:r>
          </w:p>
        </w:tc>
      </w:tr>
      <w:tr w14:paraId="186D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6E8AC62">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DDFFE8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4.2.7作业防护</w:t>
            </w:r>
          </w:p>
          <w:p w14:paraId="606F24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配备与作业风险相适应、符合GB 39800.1规定的劳动防护装备与用品，并指导、监督从业人员按规定正确佩戴、使用、维护和保养。</w:t>
            </w:r>
          </w:p>
          <w:p w14:paraId="16DC7F2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劳动防护装备与用品包括安全帽、防毒面具、防静电工作服、工作手套、作业保险绳、救生绳等，应按规定要求定期进行检查或试验合格、放置规范整齐</w:t>
            </w:r>
          </w:p>
        </w:tc>
        <w:tc>
          <w:tcPr>
            <w:tcW w:w="909" w:type="dxa"/>
            <w:noWrap w:val="0"/>
            <w:vAlign w:val="center"/>
          </w:tcPr>
          <w:p w14:paraId="7A7A6B2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91F3D0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1255195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未按规定配备装备和用品，扣10分。</w:t>
            </w:r>
          </w:p>
          <w:p w14:paraId="624B97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佩戴不全，每项扣2分。</w:t>
            </w:r>
          </w:p>
          <w:p w14:paraId="7A3DFBC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未按规定进行检查或试验合格，扣3分。</w:t>
            </w:r>
          </w:p>
          <w:p w14:paraId="4B5C33D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摆放不规范，扣3分</w:t>
            </w:r>
          </w:p>
        </w:tc>
      </w:tr>
      <w:tr w14:paraId="7549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79660C54">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4.3职业健康（20分）</w:t>
            </w:r>
          </w:p>
        </w:tc>
        <w:tc>
          <w:tcPr>
            <w:tcW w:w="5869" w:type="dxa"/>
            <w:noWrap w:val="0"/>
            <w:vAlign w:val="center"/>
          </w:tcPr>
          <w:p w14:paraId="5E6E530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4.3.1职业病危害因素辨识与防护</w:t>
            </w:r>
          </w:p>
          <w:p w14:paraId="63841AD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结合工作内容，按照有关规定开展职业病危害因素辨识工作，明确所涉及部位、场所及人员，并评估职业病危害因素的种类、浓度、强度及其对人体危害的途径，策划并明确相应的控制措施。</w:t>
            </w:r>
          </w:p>
          <w:p w14:paraId="0D1035F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按照GBZ 1、GBZ 188等的要求，为从业人员提供符合职业健康要求的工作环境和条件，为接触职业病危害的从业人员提供职业病防护用品，并指导和监督作业人员正确佩戴和使用</w:t>
            </w:r>
          </w:p>
        </w:tc>
        <w:tc>
          <w:tcPr>
            <w:tcW w:w="909" w:type="dxa"/>
            <w:noWrap w:val="0"/>
            <w:vAlign w:val="center"/>
          </w:tcPr>
          <w:p w14:paraId="1304830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375CCE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383AA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未按规定辨识，扣3分。</w:t>
            </w:r>
          </w:p>
          <w:p w14:paraId="14F718E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职业危害因素辨识、评估不全，每缺一项扣1分。</w:t>
            </w:r>
          </w:p>
          <w:p w14:paraId="0D48809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未制定控制措施，每项扣1分。</w:t>
            </w:r>
          </w:p>
          <w:p w14:paraId="2979006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作业环境和条件不符合要求，每处扣2分。</w:t>
            </w:r>
          </w:p>
          <w:p w14:paraId="27DEC1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未按规定配备防护用品，每人扣1分。</w:t>
            </w:r>
          </w:p>
          <w:p w14:paraId="55A4D3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未正确使用或佩戴防护用品，每项扣1分</w:t>
            </w:r>
          </w:p>
        </w:tc>
      </w:tr>
      <w:tr w14:paraId="6BBC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2200153">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664BB6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4.3.2职业危害场所检测与申报</w:t>
            </w:r>
          </w:p>
          <w:p w14:paraId="58D74FA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按照GBZ 1等的要求，定期对职业危害场所进行检测，形成检测记录，及时、如实向所在地有关部门申报职业危害项目，及时更新职业危害信息</w:t>
            </w:r>
          </w:p>
        </w:tc>
        <w:tc>
          <w:tcPr>
            <w:tcW w:w="909" w:type="dxa"/>
            <w:noWrap w:val="0"/>
            <w:vAlign w:val="center"/>
          </w:tcPr>
          <w:p w14:paraId="45163E2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350BC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5E2BA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未定期检测或无检测记录，扣5分。</w:t>
            </w:r>
          </w:p>
          <w:p w14:paraId="675195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检测的周期、地点、有害因素等不符合要求，每项扣1分。</w:t>
            </w:r>
          </w:p>
          <w:p w14:paraId="11E84B3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未及时、如实向所在地有关部门申报职业危害项目，每次扣1分；未及时更新信息，每次扣1分</w:t>
            </w:r>
          </w:p>
        </w:tc>
      </w:tr>
      <w:tr w14:paraId="480B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AE6834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E19ECF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4.3.3职业健康检查与建档</w:t>
            </w:r>
          </w:p>
          <w:p w14:paraId="78FB95A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不得安排有职业禁忌的从业人员从事禁忌作业。对从事接触职业病危害的作业人员应按《职业健康监护管理办法》等规定组织上岗前、在岗期间和离岗时职业健康检查，建立健全职业卫生档案和员工健康监护档案</w:t>
            </w:r>
          </w:p>
        </w:tc>
        <w:tc>
          <w:tcPr>
            <w:tcW w:w="909" w:type="dxa"/>
            <w:noWrap w:val="0"/>
            <w:vAlign w:val="center"/>
          </w:tcPr>
          <w:p w14:paraId="107C7CB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6E2E14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查相关记录和档案。</w:t>
            </w:r>
          </w:p>
          <w:p w14:paraId="42939DE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安排有职业禁忌的从业人员从事禁忌作业，扣5分。</w:t>
            </w:r>
          </w:p>
          <w:p w14:paraId="697663C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职业健康检查不全，每少一人扣1分。</w:t>
            </w:r>
          </w:p>
          <w:p w14:paraId="751F09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职业卫生档案和健康监护档案不全，每少一人扣1分</w:t>
            </w:r>
          </w:p>
        </w:tc>
      </w:tr>
      <w:tr w14:paraId="7E54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CA97D7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CF11E95">
            <w:pPr>
              <w:adjustRightInd w:val="0"/>
              <w:snapToGrid w:val="0"/>
              <w:rPr>
                <w:rFonts w:hint="default" w:ascii="Times New Roman" w:hAnsi="Times New Roman" w:eastAsia="仿宋_GB2312" w:cs="Times New Roman"/>
                <w:sz w:val="28"/>
                <w:szCs w:val="28"/>
              </w:rPr>
            </w:pPr>
            <w:bookmarkStart w:id="11" w:name="_Hlk152749894"/>
            <w:r>
              <w:rPr>
                <w:rFonts w:hint="default" w:ascii="Times New Roman" w:hAnsi="Times New Roman" w:eastAsia="仿宋_GB2312" w:cs="Times New Roman"/>
                <w:sz w:val="28"/>
                <w:szCs w:val="28"/>
              </w:rPr>
              <w:t>4.3.4职业健康危害告知</w:t>
            </w:r>
            <w:bookmarkEnd w:id="11"/>
          </w:p>
          <w:p w14:paraId="25FE5A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与从业人员订立劳动合同时，如实告知作业过程中可能产生的职业危害、后果及防护措施等</w:t>
            </w:r>
          </w:p>
        </w:tc>
        <w:tc>
          <w:tcPr>
            <w:tcW w:w="909" w:type="dxa"/>
            <w:noWrap w:val="0"/>
            <w:vAlign w:val="center"/>
          </w:tcPr>
          <w:p w14:paraId="576393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C6A5F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查劳动合同和相关记录。</w:t>
            </w:r>
          </w:p>
          <w:p w14:paraId="5213772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未告知职业危害、后果及防护措施，每人扣1分。</w:t>
            </w:r>
          </w:p>
          <w:p w14:paraId="041B29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从业人员不清楚，每人次扣1分</w:t>
            </w:r>
          </w:p>
        </w:tc>
      </w:tr>
      <w:tr w14:paraId="2850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044FC2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4.4警示标志与标识（10分）</w:t>
            </w:r>
          </w:p>
        </w:tc>
        <w:tc>
          <w:tcPr>
            <w:tcW w:w="5869" w:type="dxa"/>
            <w:noWrap w:val="0"/>
            <w:vAlign w:val="center"/>
          </w:tcPr>
          <w:p w14:paraId="7F64CEBA">
            <w:pPr>
              <w:adjustRightInd w:val="0"/>
              <w:snapToGrid w:val="0"/>
              <w:rPr>
                <w:rFonts w:hint="default" w:ascii="Times New Roman" w:hAnsi="Times New Roman" w:eastAsia="仿宋_GB2312" w:cs="Times New Roman"/>
                <w:sz w:val="28"/>
                <w:szCs w:val="28"/>
              </w:rPr>
            </w:pPr>
            <w:bookmarkStart w:id="12" w:name="_Hlk152512407"/>
            <w:r>
              <w:rPr>
                <w:rFonts w:hint="default" w:ascii="Times New Roman" w:hAnsi="Times New Roman" w:eastAsia="仿宋_GB2312" w:cs="Times New Roman"/>
                <w:sz w:val="28"/>
                <w:szCs w:val="28"/>
              </w:rPr>
              <w:t>4.4.1警示标志</w:t>
            </w:r>
            <w:bookmarkEnd w:id="12"/>
            <w:r>
              <w:rPr>
                <w:rFonts w:hint="default" w:ascii="Times New Roman" w:hAnsi="Times New Roman" w:eastAsia="仿宋_GB2312" w:cs="Times New Roman"/>
                <w:sz w:val="28"/>
                <w:szCs w:val="28"/>
              </w:rPr>
              <w:t>与标识</w:t>
            </w:r>
          </w:p>
          <w:p w14:paraId="162F72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对存在重大危险源和风险等级为较大及以上的一般危险源，较大危险因素的设施、设备和场所，以及存在严重职业病危害因素的工作场所，按照GB/T 2893、GB 2894、GBZ 158等规定和现场的安全风险特点，设置明显的安全警示标志和职业病危害警示标识，告知危险的种类、后果、防护及救治措施等；在危险作业场所设置警戒区、安全隔离设施。</w:t>
            </w:r>
          </w:p>
          <w:p w14:paraId="19DBF51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每年对警示标志至少进行一次检查维护，确保其完好有效并做好记录</w:t>
            </w:r>
          </w:p>
        </w:tc>
        <w:tc>
          <w:tcPr>
            <w:tcW w:w="909" w:type="dxa"/>
            <w:noWrap w:val="0"/>
            <w:vAlign w:val="center"/>
          </w:tcPr>
          <w:p w14:paraId="7A6E462F">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09A2FB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F5F88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未按规定设置警示标志、标识，每处扣2分。</w:t>
            </w:r>
          </w:p>
          <w:p w14:paraId="6831C3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危险作业场所未设置警戒区、安全隔离设施，每处扣2分。</w:t>
            </w:r>
          </w:p>
          <w:p w14:paraId="4B0B23A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未定期检查维护，每次扣2分。</w:t>
            </w:r>
          </w:p>
          <w:p w14:paraId="0888D9E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警示标志、标识损坏，每处扣1分。</w:t>
            </w:r>
          </w:p>
          <w:p w14:paraId="3FEA1C4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警示标志、标识不规范，每项扣1分</w:t>
            </w:r>
          </w:p>
        </w:tc>
      </w:tr>
      <w:tr w14:paraId="03B5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D1D1F3A">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594B34A">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小计</w:t>
            </w:r>
          </w:p>
        </w:tc>
        <w:tc>
          <w:tcPr>
            <w:tcW w:w="909" w:type="dxa"/>
            <w:noWrap w:val="0"/>
            <w:vAlign w:val="center"/>
          </w:tcPr>
          <w:p w14:paraId="17AA573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=SUM(ABOVE)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600</w:t>
            </w:r>
            <w:r>
              <w:rPr>
                <w:rFonts w:hint="default" w:ascii="Times New Roman" w:hAnsi="Times New Roman" w:eastAsia="仿宋_GB2312" w:cs="Times New Roman"/>
                <w:b/>
                <w:sz w:val="28"/>
                <w:szCs w:val="28"/>
              </w:rPr>
              <w:fldChar w:fldCharType="end"/>
            </w:r>
          </w:p>
        </w:tc>
        <w:tc>
          <w:tcPr>
            <w:tcW w:w="5580" w:type="dxa"/>
            <w:noWrap w:val="0"/>
            <w:vAlign w:val="center"/>
          </w:tcPr>
          <w:p w14:paraId="27B0E653">
            <w:pPr>
              <w:adjustRightInd w:val="0"/>
              <w:snapToGrid w:val="0"/>
              <w:spacing w:before="60" w:beforeLines="25" w:after="60" w:afterLines="25"/>
              <w:rPr>
                <w:rFonts w:hint="default" w:ascii="Times New Roman" w:hAnsi="Times New Roman" w:eastAsia="仿宋_GB2312" w:cs="Times New Roman"/>
                <w:sz w:val="28"/>
                <w:szCs w:val="28"/>
              </w:rPr>
            </w:pPr>
          </w:p>
        </w:tc>
      </w:tr>
      <w:tr w14:paraId="2426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768E146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5. 安全风险管控及隐患排查治理（130分）</w:t>
            </w:r>
          </w:p>
        </w:tc>
      </w:tr>
      <w:tr w14:paraId="7038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4A9108A0">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152AD4A5">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CAA9B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13C2A385">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0F6A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3E3D80D7">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5.1安全风险管控（50分）</w:t>
            </w:r>
          </w:p>
        </w:tc>
        <w:tc>
          <w:tcPr>
            <w:tcW w:w="5869" w:type="dxa"/>
            <w:noWrap w:val="0"/>
            <w:vAlign w:val="center"/>
          </w:tcPr>
          <w:p w14:paraId="4E47850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5.1.1危险源辨识与风险评价</w:t>
            </w:r>
          </w:p>
          <w:p w14:paraId="283D2F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制定并落实“六项机制”实施方案。按照有关规定，对本单位的场所、设备和设施等危险源进行辨识，确定重大危险源和一般危险源。</w:t>
            </w:r>
          </w:p>
          <w:p w14:paraId="139480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对危险源及其与之相关的生产综合环境、条件、活动和管理等进行风险评价，系统分析并确定安全风险等级。</w:t>
            </w:r>
          </w:p>
          <w:p w14:paraId="6629FC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建立危险源清单（包括危险源名称、位置、类别、级别、风险等级、事故诱因、可能导致的后果等主要内容）、风险管控清单。编制危险源辨识与风险评价报告。</w:t>
            </w:r>
          </w:p>
          <w:p w14:paraId="4192DE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至少每季度（有度汛要求的含汛前、汛后）组织开展1次危险源辨识与风险评价工作。法律法规、标准规范、环境、设施、组织、人员等发生变更时，要及时对相关危险源进行重新辨识与评价</w:t>
            </w:r>
          </w:p>
        </w:tc>
        <w:tc>
          <w:tcPr>
            <w:tcW w:w="909" w:type="dxa"/>
            <w:noWrap w:val="0"/>
            <w:vAlign w:val="center"/>
          </w:tcPr>
          <w:p w14:paraId="4DD3589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3B68B29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5E6253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未制定并落实“六项机制”实施方案，扣10分。</w:t>
            </w:r>
          </w:p>
          <w:p w14:paraId="3A367C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辨识、风险评价有漏项或不准确，每项扣2分。</w:t>
            </w:r>
          </w:p>
          <w:p w14:paraId="508350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法律法规、标准规范、环境、设施、组织、人员等发生变化时（特别是大修后），未及时开展重新辨识、风险评价，每次扣2分。</w:t>
            </w:r>
          </w:p>
          <w:p w14:paraId="49A09C9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未建立危险源清单，或风险管控清单，扣2分；危险源清单内容不全，或风险管控清单不全，每缺一项扣1分。</w:t>
            </w:r>
          </w:p>
          <w:p w14:paraId="6DC114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未编制危险源辨识与风险评价报告，扣5分。</w:t>
            </w:r>
          </w:p>
          <w:p w14:paraId="0E2FF3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未按规定实施动态管理，每次扣2分</w:t>
            </w:r>
          </w:p>
        </w:tc>
      </w:tr>
      <w:tr w14:paraId="0D81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1E1F98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B84742B">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5.1.2重大危险源和风险管控措施</w:t>
            </w:r>
          </w:p>
          <w:p w14:paraId="19C9B8CC">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照风险管控清单，从风险公告、工程技术措施、管理措施、教育培训、个体防护措施、应急处置等方面，制定并落实风险管控措施，明确管控层级。低风险判定后提级按照一般风险进行管控。动态调整并落实风险管控层级、管控措施、</w:t>
            </w:r>
            <w:r>
              <w:rPr>
                <w:rFonts w:hint="default" w:ascii="Times New Roman" w:hAnsi="Times New Roman" w:eastAsia="仿宋_GB2312" w:cs="Times New Roman"/>
                <w:sz w:val="28"/>
                <w:szCs w:val="28"/>
                <w:lang w:bidi="ar"/>
              </w:rPr>
              <w:t>管控责任人。</w:t>
            </w:r>
          </w:p>
          <w:p w14:paraId="2178CBB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危险源和风险等级为重大的一般危险源应建立专项档案，编制应急预案，按照职责范围报属地水行政主管部门备案，危险物品重大危险源按照规定同时报相关主管部门备案。采取人工监测、自动监测等手段，加强对危险源特别是风险等级为重大的危险源的监测监控，结合隐患排查治理，做好监测设备设施的日常检查、运行维护和检测校验等，做到早预警、早处置</w:t>
            </w:r>
          </w:p>
        </w:tc>
        <w:tc>
          <w:tcPr>
            <w:tcW w:w="909" w:type="dxa"/>
            <w:noWrap w:val="0"/>
            <w:vAlign w:val="center"/>
          </w:tcPr>
          <w:p w14:paraId="0D69A78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25</w:t>
            </w:r>
          </w:p>
        </w:tc>
        <w:tc>
          <w:tcPr>
            <w:tcW w:w="5580" w:type="dxa"/>
            <w:noWrap w:val="0"/>
            <w:vAlign w:val="center"/>
          </w:tcPr>
          <w:p w14:paraId="7602C3DA">
            <w:pPr>
              <w:widowControl/>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C996376">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未制定并落实风险管控措施，或管控措施针对性、实用性差，每项扣2分。</w:t>
            </w:r>
          </w:p>
          <w:p w14:paraId="2B80FA96">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未动态调整并落实风险管控层级、管控措施，扣2分。</w:t>
            </w:r>
          </w:p>
          <w:p w14:paraId="2C4AA9D2">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未建立专项档案，或未编制应急预案，或未按规定备案，每缺一项扣2分。</w:t>
            </w:r>
          </w:p>
          <w:p w14:paraId="4086A19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未按规定开展人工监测或自动监测，每项扣5分。</w:t>
            </w:r>
          </w:p>
          <w:p w14:paraId="0D000D87">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监测设备设施不完善，每处扣2分。</w:t>
            </w:r>
          </w:p>
          <w:p w14:paraId="500581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监测数据超标，未按规定采取处置措施，每处扣2分</w:t>
            </w:r>
          </w:p>
        </w:tc>
      </w:tr>
      <w:tr w14:paraId="57CA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A6F906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339BD5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5.1.3安全风险告知</w:t>
            </w:r>
          </w:p>
          <w:p w14:paraId="08ADCA7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依据评价结果，绘制并在相应位置设置“红橙黄蓝”四色安全风险空间分布图。</w:t>
            </w:r>
          </w:p>
          <w:p w14:paraId="560CA43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在醒目位置和重点区域分别设置安全风险公告栏，包括危险源及位置、类别、级别、风险等级、事故诱因、可能导致的后果以及风险管控、应急处置措施、报告电话等内容。</w:t>
            </w:r>
          </w:p>
          <w:p w14:paraId="6208D1D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制作岗位风险告知卡，包括岗位名称、本岗位涉及的危险源、事故诱因、可能导致的后果、安全操作要点以及风险防范、应急处置措施、报告电话等内容。</w:t>
            </w:r>
          </w:p>
          <w:p w14:paraId="071433A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进行风险告知，对本单位从业人员和进入风险工作区域的外来人员，应及时告知风险基本情况及防范、应急措施，并将有关信息提前告知可能直接影响范围内的相关单位和人员</w:t>
            </w:r>
          </w:p>
        </w:tc>
        <w:tc>
          <w:tcPr>
            <w:tcW w:w="909" w:type="dxa"/>
            <w:noWrap w:val="0"/>
            <w:vAlign w:val="center"/>
          </w:tcPr>
          <w:p w14:paraId="744B89C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5</w:t>
            </w:r>
          </w:p>
        </w:tc>
        <w:tc>
          <w:tcPr>
            <w:tcW w:w="5580" w:type="dxa"/>
            <w:noWrap w:val="0"/>
            <w:vAlign w:val="center"/>
          </w:tcPr>
          <w:p w14:paraId="7A59209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查相关资料并现场检查。</w:t>
            </w:r>
          </w:p>
          <w:p w14:paraId="27DB1EA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未绘制或设置四色安全风险空间分布图，扣5分。</w:t>
            </w:r>
          </w:p>
          <w:p w14:paraId="0154A3E1">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未在醒目位置和重点区域设置安全风险公告栏，每处扣2分。</w:t>
            </w:r>
          </w:p>
          <w:p w14:paraId="2D62924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安全风险公告栏内容不全，每缺一项扣1分。</w:t>
            </w:r>
          </w:p>
          <w:p w14:paraId="1752CA9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未制作岗位安全风险告知卡，每少一个岗位扣2分；岗位安全风险告知卡内容不全，每缺一项扣1分。</w:t>
            </w:r>
          </w:p>
          <w:p w14:paraId="11FB3C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未进行风险告知，每次扣2分</w:t>
            </w:r>
          </w:p>
        </w:tc>
      </w:tr>
      <w:tr w14:paraId="01BB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E6012D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5.2隐患排查治理（60分）</w:t>
            </w:r>
          </w:p>
        </w:tc>
        <w:tc>
          <w:tcPr>
            <w:tcW w:w="5869" w:type="dxa"/>
            <w:noWrap w:val="0"/>
            <w:vAlign w:val="center"/>
          </w:tcPr>
          <w:p w14:paraId="365CE782">
            <w:pPr>
              <w:tabs>
                <w:tab w:val="left" w:pos="867"/>
              </w:tabs>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5.2.1隐患排查治理</w:t>
            </w:r>
          </w:p>
          <w:p w14:paraId="6C81D85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制定排查方案，明确排查的人员、时限、范围、内容和方法等。</w:t>
            </w:r>
          </w:p>
          <w:p w14:paraId="33D5A44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采取综合检查、专项检查、季节性检查、节假日检查等排查方式，定期排查事故隐患（至少每季度组织一次安全生产综合检查），按照有关标准和技术指南，对隐患进行分析评价，确定隐患级别，并形成记录。对排查出的事故隐患，应及时通知有关责任部门。</w:t>
            </w:r>
          </w:p>
          <w:p w14:paraId="00DCDB5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般事故隐患应立即组织整改排除；重大事故隐患应采取停运等临时管控措施，并立即制定事故隐患治理方案，按规定及时向有关部门报告，实施整治工作，做到整改措施、整改资金、整改期限、整改责任人和应急预案“五落实”。</w:t>
            </w:r>
          </w:p>
          <w:p w14:paraId="2E7362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隐患治理完成后，对治理情况进行复查，按规定对治理情况进行评估、验收，并在隐患整改通知单上签署明确意见。重大事故隐患治理工作结束后，应组织本单位的安全管理人员和有关技术人员进行评估、验收。重大事故隐患治理情况应当按规定及时报告。</w:t>
            </w:r>
          </w:p>
          <w:p w14:paraId="3CA88AD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事故隐患排查治理情况，至少每月进行一次统计分析，及时向从业人员通报</w:t>
            </w:r>
          </w:p>
        </w:tc>
        <w:tc>
          <w:tcPr>
            <w:tcW w:w="909" w:type="dxa"/>
            <w:noWrap w:val="0"/>
            <w:vAlign w:val="center"/>
          </w:tcPr>
          <w:p w14:paraId="0ACCD11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60</w:t>
            </w:r>
          </w:p>
        </w:tc>
        <w:tc>
          <w:tcPr>
            <w:tcW w:w="5580" w:type="dxa"/>
            <w:noWrap w:val="0"/>
            <w:vAlign w:val="center"/>
          </w:tcPr>
          <w:p w14:paraId="214F4AFC">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查相关文件和记录并现场检查。</w:t>
            </w:r>
          </w:p>
          <w:p w14:paraId="107AB105">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未按规定开展排查，扣60分；未对隐患分析评级，扣10分；缺少检查记录，每次扣5分。</w:t>
            </w:r>
          </w:p>
          <w:p w14:paraId="30747D87">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排查出的事故隐患未及时通知整改，每次扣2分。</w:t>
            </w:r>
          </w:p>
          <w:p w14:paraId="2B8E4B4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一般事故隐患，未立即组织整改排除，每项扣5分。</w:t>
            </w:r>
          </w:p>
          <w:p w14:paraId="502F6E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重大事故隐患无治理方案，每项扣5分；治理未做到“五落实”，每项扣5分；治理完成后，未按规定进行评估、验收，每项扣3分；未按规定及时报告，每项扣3分。</w:t>
            </w:r>
          </w:p>
          <w:p w14:paraId="004BF77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未及时向从业人员通报，每次扣2分</w:t>
            </w:r>
          </w:p>
        </w:tc>
      </w:tr>
      <w:tr w14:paraId="49A2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7DFA48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5.3预测预警（20分）</w:t>
            </w:r>
          </w:p>
        </w:tc>
        <w:tc>
          <w:tcPr>
            <w:tcW w:w="5869" w:type="dxa"/>
            <w:noWrap w:val="0"/>
            <w:vAlign w:val="center"/>
          </w:tcPr>
          <w:p w14:paraId="0025D88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5.3.1自然灾害与安全生产预测预警</w:t>
            </w:r>
          </w:p>
          <w:p w14:paraId="21722F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采取多种途径及时获取水文、气象等信息，确保在接到自然灾害预报、监测监控指标超过警戒值时，及时发出预警信息（通知）；对自然灾害可能导致事故的隐患采取相应的预防措施。</w:t>
            </w:r>
          </w:p>
          <w:p w14:paraId="196D1E1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水库水电站应建立预警工作机制，完善相关操作流程，明确预警管理职责，统筹做好放水发电和安全预警工作，按规定进行泄洪安全风险预警。</w:t>
            </w:r>
          </w:p>
          <w:p w14:paraId="7322F3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对本单位事故隐患排查治理情况进行统计分析，每季度至少开展一次单位安全生产状况评价，根据生产经营状况，结合安全风险管理、隐患排查治理、监测监控和事故等情况，利用预测预警的方法或技术，开展安全生产预测预警</w:t>
            </w:r>
          </w:p>
        </w:tc>
        <w:tc>
          <w:tcPr>
            <w:tcW w:w="909" w:type="dxa"/>
            <w:noWrap w:val="0"/>
            <w:vAlign w:val="center"/>
          </w:tcPr>
          <w:p w14:paraId="4BAE4A4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02B659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D2A86D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获取信息不及时，或未及时发出预警信息（通知），每次扣2分。</w:t>
            </w:r>
          </w:p>
          <w:p w14:paraId="12D18EC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水库水电站未建立预警工作机制、完善相关操作流程、明确预警管理职责、统筹做好放水发电和安全预警工作，未按规定进行泄洪安全风险预警，扣10分。</w:t>
            </w:r>
          </w:p>
          <w:p w14:paraId="7883A3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未按规定对安全隐患排查等相关数据进行统计分析，或未按规定开展安全生产状况评价，扣5分。</w:t>
            </w:r>
          </w:p>
          <w:p w14:paraId="385145B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未对存在的安全生产问题开展预测预警，每项扣2分</w:t>
            </w:r>
          </w:p>
        </w:tc>
      </w:tr>
      <w:tr w14:paraId="6505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C39456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7FD4B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544754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130</w:t>
            </w:r>
          </w:p>
        </w:tc>
        <w:tc>
          <w:tcPr>
            <w:tcW w:w="5580" w:type="dxa"/>
            <w:noWrap w:val="0"/>
            <w:vAlign w:val="center"/>
          </w:tcPr>
          <w:p w14:paraId="79F9C7A0">
            <w:pPr>
              <w:adjustRightInd w:val="0"/>
              <w:snapToGrid w:val="0"/>
              <w:spacing w:before="60" w:beforeLines="25" w:after="60" w:afterLines="25"/>
              <w:rPr>
                <w:rFonts w:hint="default" w:ascii="Times New Roman" w:hAnsi="Times New Roman" w:eastAsia="仿宋_GB2312" w:cs="Times New Roman"/>
                <w:sz w:val="28"/>
                <w:szCs w:val="28"/>
              </w:rPr>
            </w:pPr>
          </w:p>
        </w:tc>
      </w:tr>
      <w:tr w14:paraId="23F4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03E41416">
            <w:pPr>
              <w:widowControl/>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6. 应急管理（40分）</w:t>
            </w:r>
          </w:p>
        </w:tc>
      </w:tr>
      <w:tr w14:paraId="2B6C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3AA5DC52">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21CB5618">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D829BB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4BB05599">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1E1A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04E5E0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6.1应急准备（30分）</w:t>
            </w:r>
          </w:p>
        </w:tc>
        <w:tc>
          <w:tcPr>
            <w:tcW w:w="5869" w:type="dxa"/>
            <w:noWrap w:val="0"/>
            <w:vAlign w:val="center"/>
          </w:tcPr>
          <w:p w14:paraId="6A9734B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6.1.1应急预案体系建设</w:t>
            </w:r>
          </w:p>
          <w:p w14:paraId="525987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在危险源辨识、风险分析的基础上，建立健全生产安全事故应急预案体系（包括综合预案、专项预案和现场处置方案），并按规定进行审核和报备，依法向本单位从业人员公布。</w:t>
            </w:r>
          </w:p>
          <w:p w14:paraId="01BA2EC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应急预案体系与地方政府和上级主管部门、涉及的其他单位的应急预案相衔接。按照有关规定通报周边单位和有关应急协作单位。</w:t>
            </w:r>
          </w:p>
          <w:p w14:paraId="1F848E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针对工作场所、岗位的特点，编制简明、实用、有效的应急处置卡</w:t>
            </w:r>
          </w:p>
        </w:tc>
        <w:tc>
          <w:tcPr>
            <w:tcW w:w="909" w:type="dxa"/>
            <w:noWrap w:val="0"/>
            <w:vAlign w:val="center"/>
          </w:tcPr>
          <w:p w14:paraId="726AC2C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00DF6E1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查预案文本和记录。</w:t>
            </w:r>
          </w:p>
          <w:p w14:paraId="3197CA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无应急预案，或未按规定审核、报备，扣5分。</w:t>
            </w:r>
          </w:p>
          <w:p w14:paraId="0D51B75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应急预案不齐全，每缺一个扣1分。</w:t>
            </w:r>
          </w:p>
          <w:p w14:paraId="0F3253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应急预案不完善、操作性差，每个扣1分。</w:t>
            </w:r>
          </w:p>
          <w:p w14:paraId="503BF4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重点作业岗位无应急处置方案或措施，每个扣2分。</w:t>
            </w:r>
          </w:p>
          <w:p w14:paraId="066F049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未按有关规定备案，扣2分；未向从业人员公布，扣1分。</w:t>
            </w:r>
          </w:p>
          <w:p w14:paraId="09C3FC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应急预案体系未衔接，每项扣1分；未通报周边单位或有关应急协作单位，扣1分。</w:t>
            </w:r>
          </w:p>
          <w:p w14:paraId="5B33B0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应急处置卡不全，每缺一项扣1分；应急处置卡内容不完善、操作性差，每项扣1分</w:t>
            </w:r>
          </w:p>
        </w:tc>
      </w:tr>
      <w:tr w14:paraId="47E6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95B2015">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A90297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6.1.2应急保障</w:t>
            </w:r>
          </w:p>
          <w:p w14:paraId="7385BC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按规定建立安全生产应急救援组织。</w:t>
            </w:r>
          </w:p>
          <w:p w14:paraId="157699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按应急预案的要求，建立应急资金投入保障机制，妥善安排应急管理经费，储备应急物资，建立应急装备、应急物资台账，明确存放地点和具体数量。</w:t>
            </w:r>
          </w:p>
          <w:p w14:paraId="4FAC642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定期（每季度）对应急装备和物资进行检查、维护、保养，确保其完好、可靠。</w:t>
            </w:r>
          </w:p>
          <w:p w14:paraId="0743FA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应急电源应满足突发事件的要求，其中柴油发电机组应布置在安全高程，并定期进行检查、维护、保养</w:t>
            </w:r>
          </w:p>
        </w:tc>
        <w:tc>
          <w:tcPr>
            <w:tcW w:w="909" w:type="dxa"/>
            <w:noWrap w:val="0"/>
            <w:vAlign w:val="center"/>
          </w:tcPr>
          <w:p w14:paraId="008D23C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6A8D9A7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131BF4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未按规定建立安全生产应急救援组织，扣2分。</w:t>
            </w:r>
          </w:p>
          <w:p w14:paraId="62756D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无台账，扣5分；台账与实际不符，每处扣2分。</w:t>
            </w:r>
          </w:p>
          <w:p w14:paraId="6FB95A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未建立应急资金投入保障机制，扣2分。</w:t>
            </w:r>
          </w:p>
          <w:p w14:paraId="5196208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应急装备、物资不满足要求（种类、数量不足，物资过期等），每类扣2分。</w:t>
            </w:r>
          </w:p>
          <w:p w14:paraId="1643B9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无检查、维护、保养记录，扣5分；记录不全，每项扣2分。</w:t>
            </w:r>
          </w:p>
          <w:p w14:paraId="409472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应急电源有缺陷（布置高程过低存在风险、无法启动、工作异常等），扣10分，其他应急装备和物资有缺陷（损坏、失效、过期等），每项扣2分</w:t>
            </w:r>
          </w:p>
        </w:tc>
      </w:tr>
      <w:tr w14:paraId="7DE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8921F8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D434D8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6.1.3应急预案演练</w:t>
            </w:r>
          </w:p>
          <w:p w14:paraId="0A7F8A5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按照《生产安全事故应急预案管理办法》每年至少组织一次综合应急预案演练或者专项应急预案演练，每半年至少组织一次现场处置方案演练，做到一线从业人员参与应急演练全覆盖，掌握相关的应急知识。</w:t>
            </w:r>
          </w:p>
          <w:p w14:paraId="257387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应对应急演练的效果进行评估，并根据评估结果，修订、完善应急预案</w:t>
            </w:r>
          </w:p>
        </w:tc>
        <w:tc>
          <w:tcPr>
            <w:tcW w:w="909" w:type="dxa"/>
            <w:noWrap w:val="0"/>
            <w:vAlign w:val="center"/>
          </w:tcPr>
          <w:p w14:paraId="77C5367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61961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查相关文件记录、预案文本并现场检查（问询）。</w:t>
            </w:r>
          </w:p>
          <w:p w14:paraId="5704B0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未按规定组织演练，扣10分。</w:t>
            </w:r>
          </w:p>
          <w:p w14:paraId="148BA89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一线从业人员不熟悉相关应急知识，每人次扣1分。</w:t>
            </w:r>
          </w:p>
          <w:p w14:paraId="4C3D07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记录不规范，每项扣2分。</w:t>
            </w:r>
          </w:p>
          <w:p w14:paraId="38F264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无应急演练的效果评估报告，扣5分。</w:t>
            </w:r>
          </w:p>
          <w:p w14:paraId="60E5648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未根据评估的意见修订应急预案或应急处置措施，每项扣1分</w:t>
            </w:r>
          </w:p>
        </w:tc>
      </w:tr>
      <w:tr w14:paraId="75E0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34BF0F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6.2应急处置（10分）</w:t>
            </w:r>
          </w:p>
        </w:tc>
        <w:tc>
          <w:tcPr>
            <w:tcW w:w="5869" w:type="dxa"/>
            <w:noWrap w:val="0"/>
            <w:vAlign w:val="center"/>
          </w:tcPr>
          <w:p w14:paraId="1BE1B74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6.2.1应急处置措施</w:t>
            </w:r>
          </w:p>
          <w:p w14:paraId="6440B02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发生事故或险情后，及时启动相关应急预案，采取应急处置措施，开展事故救援，必要时寻求社会支援。</w:t>
            </w:r>
          </w:p>
          <w:p w14:paraId="7237D3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应急救援结束后，应尽快完成善后处理、环境清理、监测等工作。</w:t>
            </w:r>
          </w:p>
          <w:p w14:paraId="6FB93C8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应急处置结束后，应对应急处置工作进行总结评估</w:t>
            </w:r>
          </w:p>
        </w:tc>
        <w:tc>
          <w:tcPr>
            <w:tcW w:w="909" w:type="dxa"/>
            <w:noWrap w:val="0"/>
            <w:vAlign w:val="center"/>
          </w:tcPr>
          <w:p w14:paraId="2FFAE9C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61C77A5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BB1A6D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未及时启动应急预案，扣10分；未及时采取应急处置措施，扣10分。</w:t>
            </w:r>
          </w:p>
          <w:p w14:paraId="69B9D7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因应急指挥系统失灵或应急人员未履行职责等而导致事故扩大，未达到预案要求，每次扣2分。</w:t>
            </w:r>
          </w:p>
          <w:p w14:paraId="58C793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善后处理不到位，扣10分。</w:t>
            </w:r>
          </w:p>
          <w:p w14:paraId="3E3305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未按规定进行总结评估，每次扣1分</w:t>
            </w:r>
          </w:p>
        </w:tc>
      </w:tr>
      <w:tr w14:paraId="0B0B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52D7DAB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2207C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5C6AEE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40</w:t>
            </w:r>
          </w:p>
        </w:tc>
        <w:tc>
          <w:tcPr>
            <w:tcW w:w="5580" w:type="dxa"/>
            <w:noWrap w:val="0"/>
            <w:vAlign w:val="center"/>
          </w:tcPr>
          <w:p w14:paraId="76F00568">
            <w:pPr>
              <w:adjustRightInd w:val="0"/>
              <w:snapToGrid w:val="0"/>
              <w:spacing w:before="60" w:beforeLines="25" w:after="60" w:afterLines="25"/>
              <w:rPr>
                <w:rFonts w:hint="default" w:ascii="Times New Roman" w:hAnsi="Times New Roman" w:eastAsia="仿宋_GB2312" w:cs="Times New Roman"/>
                <w:sz w:val="28"/>
                <w:szCs w:val="28"/>
              </w:rPr>
            </w:pPr>
          </w:p>
        </w:tc>
      </w:tr>
      <w:tr w14:paraId="27FC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AC2A22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7. 事故管理（20分）</w:t>
            </w:r>
          </w:p>
        </w:tc>
      </w:tr>
      <w:tr w14:paraId="16CB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58750EC">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25CCA3FC">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7D850F7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1AD5555C">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547F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4A679C1">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7.1事故报告（5分）</w:t>
            </w:r>
          </w:p>
        </w:tc>
        <w:tc>
          <w:tcPr>
            <w:tcW w:w="5869" w:type="dxa"/>
            <w:noWrap w:val="0"/>
            <w:vAlign w:val="center"/>
          </w:tcPr>
          <w:p w14:paraId="6981C54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7.1.1事故报告</w:t>
            </w:r>
          </w:p>
          <w:p w14:paraId="46ACA2C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发生事故后按照有关规定及时、准确、完整地向有关部门报告。事故报告后出现新情况的，应当及时补报</w:t>
            </w:r>
          </w:p>
        </w:tc>
        <w:tc>
          <w:tcPr>
            <w:tcW w:w="909" w:type="dxa"/>
            <w:noWrap w:val="0"/>
            <w:vAlign w:val="center"/>
          </w:tcPr>
          <w:p w14:paraId="15A45B5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6C808B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39667E2B">
            <w:pPr>
              <w:adjustRightInd w:val="0"/>
              <w:snapToGrid w:val="0"/>
              <w:ind w:firstLine="560"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报告程序不规范，扣5分。</w:t>
            </w:r>
          </w:p>
          <w:p w14:paraId="50BD0CB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未按规定及时补报，扣5分。</w:t>
            </w:r>
          </w:p>
          <w:p w14:paraId="32EC0A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报告事故的信息内容和形式与规定不相符，每项扣1分</w:t>
            </w:r>
          </w:p>
        </w:tc>
      </w:tr>
      <w:tr w14:paraId="046D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A5676BE">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7.2事故调查和处理（10分）</w:t>
            </w:r>
          </w:p>
        </w:tc>
        <w:tc>
          <w:tcPr>
            <w:tcW w:w="5869" w:type="dxa"/>
            <w:noWrap w:val="0"/>
            <w:vAlign w:val="center"/>
          </w:tcPr>
          <w:p w14:paraId="59BD7F8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7.2.1事故调查和处理</w:t>
            </w:r>
          </w:p>
          <w:p w14:paraId="461F2F9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按照有关规定，组织内部事故调查和处理（由有关人民政府组织事故调查的，应积极配合事故调查），查明事故发生的时间、经过、原因、人员伤亡情况及直接经济损失等，并编制事故调查报告。</w:t>
            </w:r>
          </w:p>
          <w:p w14:paraId="30B41A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按照“四不放过”的原则进行事故处理，对事故责任人员进行责任追究，落实防范和整改措施</w:t>
            </w:r>
          </w:p>
        </w:tc>
        <w:tc>
          <w:tcPr>
            <w:tcW w:w="909" w:type="dxa"/>
            <w:noWrap w:val="0"/>
            <w:vAlign w:val="center"/>
          </w:tcPr>
          <w:p w14:paraId="05A5303F">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9803AC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24864A2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无事故调查报告，扣5分。</w:t>
            </w:r>
          </w:p>
          <w:p w14:paraId="029B6C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事故调查报告内容不全，每次扣2分。</w:t>
            </w:r>
          </w:p>
          <w:p w14:paraId="4799A8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事故调查报告未保存或未在单位内部通报，每次扣2分。</w:t>
            </w:r>
          </w:p>
          <w:p w14:paraId="4D4CD5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未按“四不放过”的原则处理，扣5分</w:t>
            </w:r>
          </w:p>
        </w:tc>
      </w:tr>
      <w:tr w14:paraId="6FB6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7C6D1B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7.3事故档案管理（5分）</w:t>
            </w:r>
          </w:p>
        </w:tc>
        <w:tc>
          <w:tcPr>
            <w:tcW w:w="5869" w:type="dxa"/>
            <w:noWrap w:val="0"/>
            <w:vAlign w:val="center"/>
          </w:tcPr>
          <w:p w14:paraId="4801796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7.3.1事故档案管理</w:t>
            </w:r>
          </w:p>
          <w:p w14:paraId="5D15EC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建立完善的事故档案和事故管理台账，并定期按照有关规定对事故进行统计分析</w:t>
            </w:r>
          </w:p>
        </w:tc>
        <w:tc>
          <w:tcPr>
            <w:tcW w:w="909" w:type="dxa"/>
            <w:noWrap w:val="0"/>
            <w:vAlign w:val="center"/>
          </w:tcPr>
          <w:p w14:paraId="26F4A60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B82FF4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467B1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未建立事故档案和管理台账，扣5分。</w:t>
            </w:r>
          </w:p>
          <w:p w14:paraId="20B225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事故档案或管理台账不全或与实际不符，每项扣2分。</w:t>
            </w:r>
          </w:p>
          <w:p w14:paraId="255138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未进行统计分析，扣5分</w:t>
            </w:r>
          </w:p>
        </w:tc>
      </w:tr>
      <w:tr w14:paraId="4067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DBCC1F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458884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120C331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FDDB62D">
            <w:pPr>
              <w:adjustRightInd w:val="0"/>
              <w:snapToGrid w:val="0"/>
              <w:spacing w:before="60" w:beforeLines="25" w:after="60" w:afterLines="25"/>
              <w:rPr>
                <w:rFonts w:hint="default" w:ascii="Times New Roman" w:hAnsi="Times New Roman" w:eastAsia="仿宋_GB2312" w:cs="Times New Roman"/>
                <w:sz w:val="28"/>
                <w:szCs w:val="28"/>
              </w:rPr>
            </w:pPr>
          </w:p>
        </w:tc>
      </w:tr>
      <w:tr w14:paraId="31C1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180F407">
            <w:pPr>
              <w:widowControl/>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8. 持续改进（20分）</w:t>
            </w:r>
          </w:p>
        </w:tc>
      </w:tr>
      <w:tr w14:paraId="504C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9418400">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0E965F5A">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68E4817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5DFB492">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4350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jc w:val="center"/>
        </w:trPr>
        <w:tc>
          <w:tcPr>
            <w:tcW w:w="1490" w:type="dxa"/>
            <w:vMerge w:val="restart"/>
            <w:noWrap w:val="0"/>
            <w:vAlign w:val="center"/>
          </w:tcPr>
          <w:p w14:paraId="3BDEEE1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8.1绩效评定（15分）</w:t>
            </w:r>
          </w:p>
        </w:tc>
        <w:tc>
          <w:tcPr>
            <w:tcW w:w="5869" w:type="dxa"/>
            <w:noWrap w:val="0"/>
            <w:vAlign w:val="center"/>
          </w:tcPr>
          <w:p w14:paraId="54FE01E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8.1.1绩效评定</w:t>
            </w:r>
          </w:p>
          <w:p w14:paraId="4984435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度至少组织一次安全生产标准化实施情况的检查评定，验证安全生产法律法规和其他要求，各项安全生产规章制度、操作规程、应急预案等安全生产管理体系的适宜性、充分性和有效性，检查安全生产和健康管理工作目标、指标的完成情况，提出改进意见，形成评定报告</w:t>
            </w:r>
          </w:p>
        </w:tc>
        <w:tc>
          <w:tcPr>
            <w:tcW w:w="909" w:type="dxa"/>
            <w:noWrap w:val="0"/>
            <w:vAlign w:val="center"/>
          </w:tcPr>
          <w:p w14:paraId="6DE2E5C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1C506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7F7B64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每年度一次的检查与自评未按要求形成评定报告，扣5分。</w:t>
            </w:r>
          </w:p>
          <w:p w14:paraId="29E4A0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未对上年度自评提出的纠正措施的落实效果进行评价，扣2分</w:t>
            </w:r>
          </w:p>
        </w:tc>
      </w:tr>
      <w:tr w14:paraId="6501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1490" w:type="dxa"/>
            <w:vMerge w:val="continue"/>
            <w:noWrap w:val="0"/>
            <w:vAlign w:val="center"/>
          </w:tcPr>
          <w:p w14:paraId="7A9A8D14">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327325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8.1.2评定结果应用</w:t>
            </w:r>
          </w:p>
          <w:p w14:paraId="5500F47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主要负责人应全面负责评定工作。评定结果以正式文件发布，向本单位所有部门、所属单位和从业人员通报，并作为年度安全绩效考评的重要依据</w:t>
            </w:r>
          </w:p>
        </w:tc>
        <w:tc>
          <w:tcPr>
            <w:tcW w:w="909" w:type="dxa"/>
            <w:noWrap w:val="0"/>
            <w:vAlign w:val="center"/>
          </w:tcPr>
          <w:p w14:paraId="784A0DA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E8524E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查相关文件并现场检查。</w:t>
            </w:r>
          </w:p>
          <w:p w14:paraId="2D35E1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主要负责人未组织评定工作，扣10分。</w:t>
            </w:r>
          </w:p>
          <w:p w14:paraId="75182C0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未正式发布，扣5分；未按规定通报，扣3分。</w:t>
            </w:r>
          </w:p>
          <w:p w14:paraId="36124C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未纳入年度绩效考评，扣10分；年度考评结果未落实兑现，每少一个部门扣1分</w:t>
            </w:r>
          </w:p>
        </w:tc>
      </w:tr>
      <w:tr w14:paraId="2022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1490" w:type="dxa"/>
            <w:noWrap w:val="0"/>
            <w:vAlign w:val="center"/>
          </w:tcPr>
          <w:p w14:paraId="7F4649A2">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8.2持续改进（5分）</w:t>
            </w:r>
          </w:p>
        </w:tc>
        <w:tc>
          <w:tcPr>
            <w:tcW w:w="5869" w:type="dxa"/>
            <w:noWrap w:val="0"/>
            <w:vAlign w:val="center"/>
          </w:tcPr>
          <w:p w14:paraId="19A97B1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8.2.1持续改进</w:t>
            </w:r>
          </w:p>
          <w:p w14:paraId="7718506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安全生产标准化绩效评定结果以及评估、检查、自评、评审、事故调查等发现的问题，及时对安全生产目标、规章制度、操作规程和应急预案等安全生产管理体系进行修改和完善，对发现的问题及时进行整改，不断提高安全生产绩效</w:t>
            </w:r>
          </w:p>
        </w:tc>
        <w:tc>
          <w:tcPr>
            <w:tcW w:w="909" w:type="dxa"/>
            <w:noWrap w:val="0"/>
            <w:vAlign w:val="center"/>
          </w:tcPr>
          <w:p w14:paraId="0AE4E1C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34D51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CE6246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需要但未及时调整安全生产目标，每项扣2分。</w:t>
            </w:r>
          </w:p>
          <w:p w14:paraId="66CCFE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需要但未及时修改完善规章制度、操作规程，每项扣2分</w:t>
            </w:r>
          </w:p>
        </w:tc>
      </w:tr>
      <w:tr w14:paraId="3318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490" w:type="dxa"/>
            <w:noWrap w:val="0"/>
            <w:vAlign w:val="center"/>
          </w:tcPr>
          <w:p w14:paraId="5A81306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6ADFD70">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7B3E823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202A37CB">
            <w:pPr>
              <w:adjustRightInd w:val="0"/>
              <w:snapToGrid w:val="0"/>
              <w:spacing w:before="60" w:beforeLines="25" w:after="60" w:afterLines="25"/>
              <w:rPr>
                <w:rFonts w:hint="default" w:ascii="Times New Roman" w:hAnsi="Times New Roman" w:eastAsia="仿宋_GB2312" w:cs="Times New Roman"/>
                <w:sz w:val="28"/>
                <w:szCs w:val="28"/>
              </w:rPr>
            </w:pPr>
          </w:p>
        </w:tc>
      </w:tr>
    </w:tbl>
    <w:p w14:paraId="0C9F2CDA">
      <w:pPr>
        <w:widowControl/>
        <w:adjustRightInd w:val="0"/>
        <w:snapToGrid w:val="0"/>
        <w:spacing w:line="20" w:lineRule="exact"/>
        <w:jc w:val="left"/>
        <w:rPr>
          <w:rFonts w:hint="default" w:ascii="Times New Roman" w:hAnsi="Times New Roman" w:cs="Times New Roman"/>
          <w:kern w:val="0"/>
        </w:rPr>
      </w:pPr>
    </w:p>
    <w:p w14:paraId="50923900">
      <w:pPr>
        <w:widowControl/>
        <w:adjustRightInd w:val="0"/>
        <w:snapToGrid w:val="0"/>
        <w:spacing w:line="20" w:lineRule="exact"/>
        <w:jc w:val="left"/>
        <w:rPr>
          <w:rFonts w:hint="default" w:ascii="Times New Roman" w:hAnsi="Times New Roman" w:cs="Times New Roman"/>
          <w:kern w:val="0"/>
        </w:rPr>
      </w:pPr>
    </w:p>
    <w:p w14:paraId="0A353EE0">
      <w:pPr>
        <w:widowControl/>
        <w:adjustRightInd w:val="0"/>
        <w:snapToGrid w:val="0"/>
        <w:spacing w:line="20" w:lineRule="exact"/>
        <w:jc w:val="left"/>
        <w:rPr>
          <w:rFonts w:hint="default" w:ascii="Times New Roman" w:hAnsi="Times New Roman" w:cs="Times New Roman"/>
          <w:kern w:val="0"/>
        </w:rPr>
      </w:pPr>
    </w:p>
    <w:p w14:paraId="469EACAF">
      <w:pPr>
        <w:widowControl/>
        <w:adjustRightInd w:val="0"/>
        <w:snapToGrid w:val="0"/>
        <w:spacing w:line="20" w:lineRule="exact"/>
        <w:jc w:val="left"/>
        <w:rPr>
          <w:rFonts w:hint="default" w:ascii="Times New Roman" w:hAnsi="Times New Roman" w:cs="Times New Roman"/>
          <w:kern w:val="0"/>
        </w:rPr>
      </w:pPr>
    </w:p>
    <w:p w14:paraId="6C0A80C7">
      <w:pPr>
        <w:widowControl/>
        <w:adjustRightInd w:val="0"/>
        <w:snapToGrid w:val="0"/>
        <w:spacing w:line="20" w:lineRule="exact"/>
        <w:jc w:val="left"/>
        <w:rPr>
          <w:rFonts w:hint="default" w:ascii="Times New Roman" w:hAnsi="Times New Roman" w:cs="Times New Roman"/>
          <w:kern w:val="0"/>
        </w:rPr>
      </w:pPr>
    </w:p>
    <w:p w14:paraId="628CB359">
      <w:pPr>
        <w:widowControl/>
        <w:adjustRightInd w:val="0"/>
        <w:snapToGrid w:val="0"/>
        <w:spacing w:line="20" w:lineRule="exact"/>
        <w:jc w:val="left"/>
        <w:rPr>
          <w:rFonts w:hint="default" w:ascii="Times New Roman" w:hAnsi="Times New Roman" w:cs="Times New Roman"/>
          <w:kern w:val="0"/>
        </w:rPr>
        <w:sectPr>
          <w:pgSz w:w="16838" w:h="11906" w:orient="landscape"/>
          <w:pgMar w:top="1588" w:right="1701" w:bottom="1588" w:left="1588" w:header="851" w:footer="1134" w:gutter="0"/>
          <w:pgNumType w:fmt="decimal"/>
          <w:cols w:space="720" w:num="1"/>
          <w:docGrid w:linePitch="312" w:charSpace="0"/>
        </w:sectPr>
      </w:pPr>
    </w:p>
    <w:p w14:paraId="54E02538">
      <w:pPr>
        <w:widowControl/>
        <w:adjustRightInd w:val="0"/>
        <w:snapToGrid w:val="0"/>
        <w:spacing w:line="20" w:lineRule="exact"/>
        <w:jc w:val="left"/>
        <w:rPr>
          <w:rFonts w:hint="default" w:ascii="Times New Roman" w:hAnsi="Times New Roman" w:cs="Times New Roman"/>
          <w:kern w:val="0"/>
        </w:rPr>
      </w:pPr>
    </w:p>
    <w:p w14:paraId="23AEFDFD">
      <w:pPr>
        <w:widowControl/>
        <w:adjustRightInd w:val="0"/>
        <w:snapToGrid w:val="0"/>
        <w:spacing w:line="20" w:lineRule="exact"/>
        <w:jc w:val="left"/>
        <w:rPr>
          <w:rFonts w:hint="default" w:ascii="Times New Roman" w:hAnsi="Times New Roman" w:cs="Times New Roman"/>
          <w:kern w:val="0"/>
        </w:rPr>
      </w:pPr>
    </w:p>
    <w:p w14:paraId="09544AA8">
      <w:pPr>
        <w:widowControl/>
        <w:adjustRightInd w:val="0"/>
        <w:snapToGrid w:val="0"/>
        <w:spacing w:line="20" w:lineRule="exact"/>
        <w:jc w:val="left"/>
        <w:rPr>
          <w:rFonts w:hint="default" w:ascii="Times New Roman" w:hAnsi="Times New Roman" w:cs="Times New Roman"/>
          <w:kern w:val="0"/>
        </w:rPr>
      </w:pPr>
    </w:p>
    <w:p w14:paraId="11B6E855">
      <w:pPr>
        <w:widowControl/>
        <w:adjustRightInd w:val="0"/>
        <w:snapToGrid w:val="0"/>
        <w:spacing w:line="20" w:lineRule="exact"/>
        <w:jc w:val="left"/>
        <w:rPr>
          <w:rFonts w:hint="default" w:ascii="Times New Roman" w:hAnsi="Times New Roman" w:cs="Times New Roman"/>
          <w:kern w:val="0"/>
        </w:rPr>
      </w:pPr>
    </w:p>
    <w:p w14:paraId="5A71A6F7">
      <w:pPr>
        <w:widowControl/>
        <w:adjustRightInd w:val="0"/>
        <w:snapToGrid w:val="0"/>
        <w:spacing w:line="20" w:lineRule="exact"/>
        <w:jc w:val="left"/>
        <w:rPr>
          <w:rFonts w:hint="default" w:ascii="Times New Roman" w:hAnsi="Times New Roman" w:cs="Times New Roman"/>
          <w:kern w:val="0"/>
        </w:rPr>
      </w:pPr>
    </w:p>
    <w:p w14:paraId="11BEC4E2">
      <w:pPr>
        <w:widowControl/>
        <w:spacing w:line="360" w:lineRule="auto"/>
        <w:jc w:val="left"/>
        <w:rPr>
          <w:rFonts w:hint="default" w:ascii="Times New Roman" w:hAnsi="Times New Roman" w:eastAsia="黑体" w:cs="Times New Roman"/>
          <w:bCs/>
          <w:sz w:val="32"/>
          <w:szCs w:val="32"/>
          <w:lang w:eastAsia="zh-CN"/>
        </w:rPr>
      </w:pPr>
      <w:bookmarkStart w:id="13" w:name="_Toc389145203"/>
      <w:bookmarkStart w:id="14" w:name="_Toc24559"/>
      <w:bookmarkStart w:id="15" w:name="_Hlk66702888"/>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2</w:t>
      </w:r>
    </w:p>
    <w:p w14:paraId="0D8F046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Cs/>
          <w:sz w:val="44"/>
          <w:szCs w:val="44"/>
          <w:lang w:val="en-US" w:eastAsia="zh-CN"/>
        </w:rPr>
      </w:pPr>
      <w:r>
        <w:rPr>
          <w:rFonts w:hint="default" w:ascii="Times New Roman" w:hAnsi="Times New Roman" w:eastAsia="方正小标宋_GBK" w:cs="Times New Roman"/>
          <w:bCs/>
          <w:sz w:val="44"/>
          <w:szCs w:val="44"/>
          <w:lang w:val="en-US" w:eastAsia="zh-CN"/>
        </w:rPr>
        <w:t>小型水电站安全生产标准化二、三级达标</w:t>
      </w:r>
    </w:p>
    <w:p w14:paraId="684A6CD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Cs/>
          <w:sz w:val="44"/>
          <w:szCs w:val="44"/>
          <w:lang w:val="en-US" w:eastAsia="zh-CN"/>
        </w:rPr>
      </w:pPr>
      <w:r>
        <w:rPr>
          <w:rFonts w:hint="default" w:ascii="Times New Roman" w:hAnsi="Times New Roman" w:eastAsia="方正小标宋_GBK" w:cs="Times New Roman"/>
          <w:bCs/>
          <w:sz w:val="44"/>
          <w:szCs w:val="44"/>
          <w:lang w:val="en-US" w:eastAsia="zh-CN"/>
        </w:rPr>
        <w:t>评级申报和期满延续材料报送要求</w:t>
      </w:r>
    </w:p>
    <w:p w14:paraId="3EB816F8">
      <w:pPr>
        <w:keepNext w:val="0"/>
        <w:keepLines w:val="0"/>
        <w:pageBreakBefore w:val="0"/>
        <w:widowControl/>
        <w:kinsoku/>
        <w:wordWrap/>
        <w:overflowPunct/>
        <w:topLinePunct w:val="0"/>
        <w:autoSpaceDE/>
        <w:autoSpaceDN/>
        <w:bidi w:val="0"/>
        <w:adjustRightInd/>
        <w:snapToGrid/>
        <w:spacing w:line="560" w:lineRule="exact"/>
        <w:ind w:firstLine="320" w:firstLineChars="200"/>
        <w:jc w:val="both"/>
        <w:textAlignment w:val="auto"/>
        <w:rPr>
          <w:rFonts w:hint="default" w:ascii="Times New Roman" w:hAnsi="Times New Roman" w:eastAsia="仿宋_GB2312" w:cs="Times New Roman"/>
          <w:color w:val="000000"/>
          <w:kern w:val="0"/>
          <w:sz w:val="16"/>
          <w:szCs w:val="16"/>
          <w:highlight w:val="none"/>
        </w:rPr>
      </w:pPr>
    </w:p>
    <w:p w14:paraId="0112EDD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color w:val="000000"/>
          <w:kern w:val="0"/>
          <w:sz w:val="32"/>
          <w:szCs w:val="32"/>
          <w:highlight w:val="none"/>
        </w:rPr>
        <w:t>为进一步规范</w:t>
      </w:r>
      <w:r>
        <w:rPr>
          <w:rFonts w:hint="default" w:ascii="Times New Roman" w:hAnsi="Times New Roman" w:eastAsia="仿宋_GB2312" w:cs="Times New Roman"/>
          <w:color w:val="000000"/>
          <w:kern w:val="0"/>
          <w:sz w:val="32"/>
          <w:szCs w:val="32"/>
          <w:highlight w:val="none"/>
          <w:lang w:val="en-US" w:eastAsia="zh-CN"/>
        </w:rPr>
        <w:t>我区小型</w:t>
      </w:r>
      <w:r>
        <w:rPr>
          <w:rFonts w:hint="default" w:ascii="Times New Roman" w:hAnsi="Times New Roman" w:eastAsia="仿宋_GB2312" w:cs="Times New Roman"/>
          <w:color w:val="000000"/>
          <w:kern w:val="0"/>
          <w:sz w:val="32"/>
          <w:szCs w:val="32"/>
          <w:highlight w:val="none"/>
        </w:rPr>
        <w:t>水电站安全生产标准化二</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三级</w:t>
      </w:r>
      <w:r>
        <w:rPr>
          <w:rFonts w:hint="default" w:ascii="Times New Roman" w:hAnsi="Times New Roman" w:eastAsia="仿宋_GB2312" w:cs="Times New Roman"/>
          <w:color w:val="000000"/>
          <w:kern w:val="0"/>
          <w:sz w:val="32"/>
          <w:szCs w:val="32"/>
          <w:highlight w:val="none"/>
        </w:rPr>
        <w:t>达标评审</w:t>
      </w:r>
      <w:r>
        <w:rPr>
          <w:rFonts w:hint="default" w:ascii="Times New Roman" w:hAnsi="Times New Roman" w:eastAsia="仿宋_GB2312" w:cs="Times New Roman"/>
          <w:color w:val="000000"/>
          <w:kern w:val="0"/>
          <w:sz w:val="32"/>
          <w:szCs w:val="32"/>
          <w:highlight w:val="none"/>
          <w:lang w:val="en-US" w:eastAsia="zh-CN"/>
        </w:rPr>
        <w:t>首次申报和期满延续申报</w:t>
      </w:r>
      <w:r>
        <w:rPr>
          <w:rFonts w:hint="default" w:ascii="Times New Roman" w:hAnsi="Times New Roman" w:eastAsia="仿宋_GB2312" w:cs="Times New Roman"/>
          <w:color w:val="000000"/>
          <w:kern w:val="0"/>
          <w:sz w:val="32"/>
          <w:szCs w:val="32"/>
          <w:highlight w:val="none"/>
        </w:rPr>
        <w:t>材料报送工作，根据</w:t>
      </w:r>
      <w:r>
        <w:rPr>
          <w:rFonts w:hint="default" w:ascii="Times New Roman" w:hAnsi="Times New Roman" w:eastAsia="仿宋_GB2312" w:cs="Times New Roman"/>
          <w:sz w:val="32"/>
          <w:szCs w:val="32"/>
          <w:highlight w:val="none"/>
          <w:lang w:val="en-US" w:eastAsia="zh-CN"/>
        </w:rPr>
        <w:t>《小型水电站安全生产标准化评审委员会办公室印发</w:t>
      </w:r>
      <w:r>
        <w:rPr>
          <w:rFonts w:hint="default" w:ascii="Times New Roman" w:hAnsi="Times New Roman" w:eastAsia="微软雅黑"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小型水电站安全生产标准化评审细则</w:t>
      </w:r>
      <w:r>
        <w:rPr>
          <w:rFonts w:hint="default" w:ascii="Times New Roman" w:hAnsi="Times New Roman" w:eastAsia="微软雅黑"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的通知》（国际函〔2024〕13号）</w:t>
      </w:r>
      <w:r>
        <w:rPr>
          <w:rFonts w:hint="default" w:ascii="Times New Roman" w:hAnsi="Times New Roman" w:eastAsia="仿宋_GB2312" w:cs="Times New Roman"/>
          <w:kern w:val="0"/>
          <w:sz w:val="32"/>
          <w:szCs w:val="32"/>
          <w:highlight w:val="none"/>
        </w:rPr>
        <w:t>等有关规定，</w:t>
      </w:r>
      <w:r>
        <w:rPr>
          <w:rFonts w:hint="default" w:ascii="Times New Roman" w:hAnsi="Times New Roman" w:eastAsia="仿宋_GB2312" w:cs="Times New Roman"/>
          <w:color w:val="000000"/>
          <w:kern w:val="0"/>
          <w:sz w:val="32"/>
          <w:szCs w:val="32"/>
          <w:highlight w:val="none"/>
        </w:rPr>
        <w:t>现就有关事项明确如下：</w:t>
      </w:r>
    </w:p>
    <w:p w14:paraId="2A16332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color w:val="000000"/>
          <w:kern w:val="0"/>
          <w:sz w:val="32"/>
          <w:szCs w:val="32"/>
        </w:rPr>
        <w:t>报送要求适用于</w:t>
      </w:r>
      <w:r>
        <w:rPr>
          <w:rFonts w:hint="default" w:ascii="Times New Roman" w:hAnsi="Times New Roman" w:eastAsia="仿宋_GB2312" w:cs="Times New Roman"/>
          <w:color w:val="000000"/>
          <w:kern w:val="0"/>
          <w:sz w:val="32"/>
          <w:szCs w:val="32"/>
          <w:lang w:val="en-US" w:eastAsia="zh-CN"/>
        </w:rPr>
        <w:t>小型</w:t>
      </w:r>
      <w:r>
        <w:rPr>
          <w:rFonts w:hint="default" w:ascii="Times New Roman" w:hAnsi="Times New Roman" w:eastAsia="仿宋_GB2312" w:cs="Times New Roman"/>
          <w:color w:val="000000"/>
          <w:kern w:val="0"/>
          <w:sz w:val="32"/>
          <w:szCs w:val="32"/>
        </w:rPr>
        <w:t>水电站企事业单位申请安全生产标准化二级、三级达标</w:t>
      </w:r>
      <w:r>
        <w:rPr>
          <w:rFonts w:hint="default" w:ascii="Times New Roman" w:hAnsi="Times New Roman" w:eastAsia="仿宋_GB2312" w:cs="Times New Roman"/>
          <w:color w:val="000000"/>
          <w:kern w:val="0"/>
          <w:sz w:val="32"/>
          <w:szCs w:val="32"/>
          <w:lang w:val="en-US" w:eastAsia="zh-CN"/>
        </w:rPr>
        <w:t>评级和期满延续。</w:t>
      </w:r>
    </w:p>
    <w:p w14:paraId="3391BF2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2</w:t>
      </w:r>
      <w:r>
        <w:rPr>
          <w:rFonts w:hint="default" w:ascii="Times New Roman" w:hAnsi="Times New Roman" w:eastAsia="仿宋_GB2312" w:cs="Times New Roman"/>
          <w:kern w:val="0"/>
          <w:sz w:val="32"/>
          <w:szCs w:val="32"/>
          <w:lang w:val="en-US" w:eastAsia="zh-CN"/>
        </w:rPr>
        <w:t>.首次申报</w:t>
      </w:r>
      <w:r>
        <w:rPr>
          <w:rFonts w:hint="default" w:ascii="Times New Roman" w:hAnsi="Times New Roman" w:eastAsia="仿宋_GB2312" w:cs="Times New Roman"/>
          <w:color w:val="000000"/>
          <w:kern w:val="0"/>
          <w:sz w:val="32"/>
          <w:szCs w:val="32"/>
        </w:rPr>
        <w:t>申请材料包括申请表（格式见附录A）、自评报告（格式见附录B）、支撑性材料（材料清单见附录C）和承诺书（格式见附录D）</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视频申报材料</w:t>
      </w:r>
      <w:r>
        <w:rPr>
          <w:rFonts w:hint="default" w:ascii="Times New Roman" w:hAnsi="Times New Roman" w:eastAsia="仿宋_GB2312" w:cs="Times New Roman"/>
          <w:kern w:val="0"/>
          <w:sz w:val="32"/>
          <w:szCs w:val="32"/>
        </w:rPr>
        <w:t>及有关单位开具的证明</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期满延续申请材料包括期满延续申请表</w:t>
      </w:r>
      <w:r>
        <w:rPr>
          <w:rFonts w:hint="default" w:ascii="Times New Roman" w:hAnsi="Times New Roman" w:eastAsia="仿宋_GB2312" w:cs="Times New Roman"/>
          <w:color w:val="000000"/>
          <w:kern w:val="0"/>
          <w:sz w:val="32"/>
          <w:szCs w:val="32"/>
        </w:rPr>
        <w:t>（格式见附录</w:t>
      </w:r>
      <w:r>
        <w:rPr>
          <w:rFonts w:hint="default" w:ascii="Times New Roman" w:hAnsi="Times New Roman" w:eastAsia="仿宋_GB2312" w:cs="Times New Roman"/>
          <w:color w:val="000000"/>
          <w:kern w:val="0"/>
          <w:sz w:val="32"/>
          <w:szCs w:val="32"/>
          <w:lang w:val="en-US" w:eastAsia="zh-CN"/>
        </w:rPr>
        <w:t>E</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年度</w:t>
      </w:r>
      <w:r>
        <w:rPr>
          <w:rFonts w:hint="default" w:ascii="Times New Roman" w:hAnsi="Times New Roman" w:eastAsia="仿宋_GB2312" w:cs="Times New Roman"/>
          <w:color w:val="000000"/>
          <w:kern w:val="0"/>
          <w:sz w:val="32"/>
          <w:szCs w:val="32"/>
        </w:rPr>
        <w:t>自评报告（格式见附录</w:t>
      </w:r>
      <w:r>
        <w:rPr>
          <w:rFonts w:hint="default" w:ascii="Times New Roman" w:hAnsi="Times New Roman" w:eastAsia="仿宋_GB2312" w:cs="Times New Roman"/>
          <w:color w:val="000000"/>
          <w:kern w:val="0"/>
          <w:sz w:val="32"/>
          <w:szCs w:val="32"/>
          <w:lang w:val="en-US" w:eastAsia="zh-CN"/>
        </w:rPr>
        <w:t>F</w:t>
      </w:r>
      <w:r>
        <w:rPr>
          <w:rFonts w:hint="default" w:ascii="Times New Roman" w:hAnsi="Times New Roman" w:eastAsia="仿宋_GB2312" w:cs="Times New Roman"/>
          <w:color w:val="000000"/>
          <w:kern w:val="0"/>
          <w:sz w:val="32"/>
          <w:szCs w:val="32"/>
        </w:rPr>
        <w:t>）和承诺书（格式见附录</w:t>
      </w:r>
      <w:r>
        <w:rPr>
          <w:rFonts w:hint="default" w:ascii="Times New Roman" w:hAnsi="Times New Roman" w:eastAsia="仿宋_GB2312" w:cs="Times New Roman"/>
          <w:color w:val="000000"/>
          <w:kern w:val="0"/>
          <w:sz w:val="32"/>
          <w:szCs w:val="32"/>
          <w:lang w:val="en-US" w:eastAsia="zh-CN"/>
        </w:rPr>
        <w:t>G</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视频申报材料</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安全生产标准化等级升级的水电站按首次申报申请。</w:t>
      </w:r>
    </w:p>
    <w:p w14:paraId="3224F17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kern w:val="0"/>
          <w:sz w:val="32"/>
          <w:szCs w:val="32"/>
          <w:lang w:val="en-US" w:eastAsia="zh-CN"/>
        </w:rPr>
        <w:t>3.首次申报的水电站</w:t>
      </w:r>
      <w:r>
        <w:rPr>
          <w:rFonts w:hint="default" w:ascii="Times New Roman" w:hAnsi="Times New Roman" w:eastAsia="仿宋_GB2312" w:cs="Times New Roman"/>
          <w:color w:val="000000"/>
          <w:kern w:val="0"/>
          <w:sz w:val="32"/>
          <w:szCs w:val="32"/>
        </w:rPr>
        <w:t>自评报告应全面、概括地反映标准化创建的前期准备、创建过程、自主评定工作开展情况和自评结果等内容，用语规范、表述简洁，并单独成册。自评报告中应提供标准化创建各阶段和自评过程中形成的文件、原始记录材料和图片资料。</w:t>
      </w:r>
    </w:p>
    <w:p w14:paraId="0288165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首次申报和期满延续水电站应提供视频申报资料。视频申报资料制作要求见表1。</w:t>
      </w:r>
    </w:p>
    <w:p w14:paraId="22184C6D">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center"/>
        <w:textAlignment w:val="baseline"/>
        <w:rPr>
          <w:rFonts w:hint="default" w:ascii="Times New Roman" w:hAnsi="Times New Roman" w:cs="Times New Roman"/>
          <w:b/>
          <w:szCs w:val="24"/>
          <w:lang w:val="en-US" w:eastAsia="zh-CN"/>
        </w:rPr>
      </w:pPr>
      <w:r>
        <w:rPr>
          <w:rFonts w:hint="default" w:ascii="Times New Roman" w:hAnsi="Times New Roman" w:cs="Times New Roman"/>
          <w:b/>
          <w:szCs w:val="24"/>
          <w:lang w:val="en-US" w:eastAsia="zh-CN"/>
        </w:rPr>
        <w:t>表1 视频申报材料资料要求</w:t>
      </w:r>
    </w:p>
    <w:tbl>
      <w:tblPr>
        <w:tblStyle w:val="10"/>
        <w:tblpPr w:leftFromText="180" w:rightFromText="180" w:vertAnchor="text" w:horzAnchor="page" w:tblpX="1671" w:tblpY="1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1707"/>
        <w:gridCol w:w="6742"/>
      </w:tblGrid>
      <w:tr w14:paraId="7CB9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406B25D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1</w:t>
            </w:r>
          </w:p>
        </w:tc>
        <w:tc>
          <w:tcPr>
            <w:tcW w:w="1707" w:type="dxa"/>
            <w:noWrap w:val="0"/>
            <w:vAlign w:val="center"/>
          </w:tcPr>
          <w:p w14:paraId="4AC7ED7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lang w:val="en-US" w:eastAsia="zh-CN"/>
              </w:rPr>
              <w:t>全景展示</w:t>
            </w:r>
          </w:p>
        </w:tc>
        <w:tc>
          <w:tcPr>
            <w:tcW w:w="6742" w:type="dxa"/>
            <w:noWrap w:val="0"/>
            <w:vAlign w:val="center"/>
          </w:tcPr>
          <w:p w14:paraId="7230C8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lang w:val="en-US" w:eastAsia="zh-CN"/>
              </w:rPr>
              <w:t>视频应包含水电站从外部到内部主要区域的全景画面，包括大坝、厂房、进水口、出水口等</w:t>
            </w:r>
          </w:p>
        </w:tc>
      </w:tr>
      <w:tr w14:paraId="66E3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57DCB37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2</w:t>
            </w:r>
          </w:p>
        </w:tc>
        <w:tc>
          <w:tcPr>
            <w:tcW w:w="1707" w:type="dxa"/>
            <w:noWrap w:val="0"/>
            <w:vAlign w:val="center"/>
          </w:tcPr>
          <w:p w14:paraId="073BD5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设备特写</w:t>
            </w:r>
          </w:p>
        </w:tc>
        <w:tc>
          <w:tcPr>
            <w:tcW w:w="6742" w:type="dxa"/>
            <w:noWrap w:val="0"/>
            <w:vAlign w:val="center"/>
          </w:tcPr>
          <w:p w14:paraId="0D96B6E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对关键发电设备、控制设备、变电设备等进行特写，清晰展示其状态和运行情况。</w:t>
            </w:r>
          </w:p>
        </w:tc>
      </w:tr>
      <w:tr w14:paraId="63E8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050D4BC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w:t>
            </w:r>
          </w:p>
        </w:tc>
        <w:tc>
          <w:tcPr>
            <w:tcW w:w="1707" w:type="dxa"/>
            <w:noWrap w:val="0"/>
            <w:vAlign w:val="center"/>
          </w:tcPr>
          <w:p w14:paraId="79F966B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安全设施</w:t>
            </w:r>
          </w:p>
        </w:tc>
        <w:tc>
          <w:tcPr>
            <w:tcW w:w="6742" w:type="dxa"/>
            <w:noWrap w:val="0"/>
            <w:vAlign w:val="center"/>
          </w:tcPr>
          <w:p w14:paraId="5ABCB3B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突出显示各类安全防护设施、警示标识等，如消防器材、安全围栏等</w:t>
            </w:r>
          </w:p>
        </w:tc>
      </w:tr>
      <w:tr w14:paraId="0B19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36270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w:t>
            </w:r>
          </w:p>
        </w:tc>
        <w:tc>
          <w:tcPr>
            <w:tcW w:w="1707" w:type="dxa"/>
            <w:noWrap w:val="0"/>
            <w:vAlign w:val="center"/>
          </w:tcPr>
          <w:p w14:paraId="722F5F1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运行场景</w:t>
            </w:r>
          </w:p>
        </w:tc>
        <w:tc>
          <w:tcPr>
            <w:tcW w:w="6742" w:type="dxa"/>
            <w:noWrap w:val="0"/>
            <w:vAlign w:val="center"/>
          </w:tcPr>
          <w:p w14:paraId="7372402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呈现机组正常运行时的场景，包括水流、设备运转等</w:t>
            </w:r>
          </w:p>
        </w:tc>
      </w:tr>
      <w:tr w14:paraId="6CB4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1F79A7A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w:t>
            </w:r>
          </w:p>
        </w:tc>
        <w:tc>
          <w:tcPr>
            <w:tcW w:w="1707" w:type="dxa"/>
            <w:noWrap w:val="0"/>
            <w:vAlign w:val="center"/>
          </w:tcPr>
          <w:p w14:paraId="48E0E5D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工作流程</w:t>
            </w:r>
          </w:p>
        </w:tc>
        <w:tc>
          <w:tcPr>
            <w:tcW w:w="6742" w:type="dxa"/>
            <w:noWrap w:val="0"/>
            <w:vAlign w:val="center"/>
          </w:tcPr>
          <w:p w14:paraId="7A8A83D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可以简要展示工作人员进行日常巡检、操作等的流程</w:t>
            </w:r>
          </w:p>
        </w:tc>
      </w:tr>
      <w:tr w14:paraId="1835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7B56F0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w:t>
            </w:r>
          </w:p>
        </w:tc>
        <w:tc>
          <w:tcPr>
            <w:tcW w:w="1707" w:type="dxa"/>
            <w:noWrap w:val="0"/>
            <w:vAlign w:val="center"/>
          </w:tcPr>
          <w:p w14:paraId="08D188A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环境整洁</w:t>
            </w:r>
          </w:p>
        </w:tc>
        <w:tc>
          <w:tcPr>
            <w:tcW w:w="6742" w:type="dxa"/>
            <w:noWrap w:val="0"/>
            <w:vAlign w:val="center"/>
          </w:tcPr>
          <w:p w14:paraId="6C34905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体现电站内部及周边环境的整洁有序</w:t>
            </w:r>
          </w:p>
        </w:tc>
      </w:tr>
      <w:tr w14:paraId="08D3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1EDD8D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w:t>
            </w:r>
          </w:p>
        </w:tc>
        <w:tc>
          <w:tcPr>
            <w:tcW w:w="1707" w:type="dxa"/>
            <w:noWrap w:val="0"/>
            <w:vAlign w:val="center"/>
          </w:tcPr>
          <w:p w14:paraId="3ACE9D2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重点区域介绍</w:t>
            </w:r>
          </w:p>
        </w:tc>
        <w:tc>
          <w:tcPr>
            <w:tcW w:w="6742" w:type="dxa"/>
            <w:noWrap w:val="0"/>
            <w:vAlign w:val="center"/>
          </w:tcPr>
          <w:p w14:paraId="672B171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对中控室、配电室、水轮机层等重要区域进行单独介绍和展示</w:t>
            </w:r>
          </w:p>
        </w:tc>
      </w:tr>
      <w:tr w14:paraId="788C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655C662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1707" w:type="dxa"/>
            <w:noWrap w:val="0"/>
            <w:vAlign w:val="center"/>
          </w:tcPr>
          <w:p w14:paraId="11CF154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时长适中</w:t>
            </w:r>
          </w:p>
        </w:tc>
        <w:tc>
          <w:tcPr>
            <w:tcW w:w="6742" w:type="dxa"/>
            <w:noWrap w:val="0"/>
            <w:vAlign w:val="center"/>
          </w:tcPr>
          <w:p w14:paraId="5EE297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视频时长不宜过长或过短，应能全面而精炼地展示电站情况，时长控制在2-3分钟左右</w:t>
            </w:r>
          </w:p>
        </w:tc>
      </w:tr>
      <w:tr w14:paraId="1D9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0432FAA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9</w:t>
            </w:r>
          </w:p>
        </w:tc>
        <w:tc>
          <w:tcPr>
            <w:tcW w:w="1707" w:type="dxa"/>
            <w:noWrap w:val="0"/>
            <w:vAlign w:val="center"/>
          </w:tcPr>
          <w:p w14:paraId="08E8EC8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清晰稳定</w:t>
            </w:r>
          </w:p>
        </w:tc>
        <w:tc>
          <w:tcPr>
            <w:tcW w:w="6742" w:type="dxa"/>
            <w:noWrap w:val="0"/>
            <w:vAlign w:val="center"/>
          </w:tcPr>
          <w:p w14:paraId="1F8279C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确保视频画面清晰、稳定，避免模糊、晃动</w:t>
            </w:r>
          </w:p>
        </w:tc>
      </w:tr>
      <w:tr w14:paraId="30EA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93AE7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1707" w:type="dxa"/>
            <w:noWrap w:val="0"/>
            <w:vAlign w:val="center"/>
          </w:tcPr>
          <w:p w14:paraId="76A5479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旁白解说</w:t>
            </w:r>
          </w:p>
        </w:tc>
        <w:tc>
          <w:tcPr>
            <w:tcW w:w="6742" w:type="dxa"/>
            <w:noWrap w:val="0"/>
            <w:vAlign w:val="center"/>
          </w:tcPr>
          <w:p w14:paraId="41F813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配以清晰准确的旁白解说，对视频中展示的内容进行说明和解释</w:t>
            </w:r>
          </w:p>
        </w:tc>
      </w:tr>
      <w:tr w14:paraId="1BC1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BE7D65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w:t>
            </w:r>
          </w:p>
        </w:tc>
        <w:tc>
          <w:tcPr>
            <w:tcW w:w="1707" w:type="dxa"/>
            <w:noWrap w:val="0"/>
            <w:vAlign w:val="center"/>
          </w:tcPr>
          <w:p w14:paraId="3021D6D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标注名称</w:t>
            </w:r>
          </w:p>
        </w:tc>
        <w:tc>
          <w:tcPr>
            <w:tcW w:w="6742" w:type="dxa"/>
            <w:noWrap w:val="0"/>
            <w:vAlign w:val="center"/>
          </w:tcPr>
          <w:p w14:paraId="485112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在视频中适当位置标注水电站名称及相关重要区域名称</w:t>
            </w:r>
          </w:p>
        </w:tc>
      </w:tr>
    </w:tbl>
    <w:p w14:paraId="3966D38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支撑性材料应按</w:t>
      </w:r>
      <w:r>
        <w:rPr>
          <w:rFonts w:hint="default" w:ascii="Times New Roman" w:hAnsi="Times New Roman" w:eastAsia="仿宋_GB2312" w:cs="Times New Roman"/>
          <w:color w:val="000000"/>
          <w:kern w:val="0"/>
          <w:sz w:val="32"/>
          <w:szCs w:val="32"/>
        </w:rPr>
        <w:t>附录</w:t>
      </w:r>
      <w:r>
        <w:rPr>
          <w:rFonts w:hint="default" w:ascii="Times New Roman" w:hAnsi="Times New Roman" w:eastAsia="仿宋_GB2312" w:cs="Times New Roman"/>
          <w:kern w:val="0"/>
          <w:sz w:val="32"/>
          <w:szCs w:val="32"/>
        </w:rPr>
        <w:t>C要求提供，排列顺序同清单顺序，单独成册（内容较多的可分多册装订）。</w:t>
      </w:r>
    </w:p>
    <w:p w14:paraId="7BDC27C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6.首次申报和期满延续水电站应</w:t>
      </w:r>
      <w:r>
        <w:rPr>
          <w:rFonts w:hint="default" w:ascii="Times New Roman" w:hAnsi="Times New Roman" w:eastAsia="仿宋_GB2312" w:cs="Times New Roman"/>
          <w:color w:val="000000"/>
          <w:kern w:val="0"/>
          <w:sz w:val="32"/>
          <w:szCs w:val="32"/>
        </w:rPr>
        <w:t>附录</w:t>
      </w:r>
      <w:r>
        <w:rPr>
          <w:rFonts w:hint="default" w:ascii="Times New Roman" w:hAnsi="Times New Roman" w:eastAsia="仿宋_GB2312" w:cs="Times New Roman"/>
          <w:color w:val="000000"/>
          <w:kern w:val="0"/>
          <w:sz w:val="32"/>
          <w:szCs w:val="32"/>
          <w:lang w:val="en-US" w:eastAsia="zh-CN"/>
        </w:rPr>
        <w:t>D和G</w:t>
      </w:r>
      <w:r>
        <w:rPr>
          <w:rFonts w:hint="default" w:ascii="Times New Roman" w:hAnsi="Times New Roman" w:eastAsia="仿宋_GB2312" w:cs="Times New Roman"/>
          <w:kern w:val="0"/>
          <w:sz w:val="32"/>
          <w:szCs w:val="32"/>
          <w:lang w:val="en-US" w:eastAsia="zh-CN"/>
        </w:rPr>
        <w:t>按提供《承诺书》一份，承诺内容符合《小</w:t>
      </w:r>
      <w:r>
        <w:rPr>
          <w:rFonts w:hint="default" w:ascii="Times New Roman" w:hAnsi="Times New Roman" w:eastAsia="仿宋_GB2312" w:cs="Times New Roman"/>
          <w:kern w:val="0"/>
          <w:sz w:val="32"/>
          <w:szCs w:val="32"/>
        </w:rPr>
        <w:t>型水电站安全生产标准化评审细则》第</w:t>
      </w:r>
      <w:r>
        <w:rPr>
          <w:rFonts w:hint="default" w:ascii="Times New Roman" w:hAnsi="Times New Roman" w:eastAsia="仿宋_GB2312" w:cs="Times New Roman"/>
          <w:kern w:val="0"/>
          <w:sz w:val="32"/>
          <w:szCs w:val="32"/>
          <w:lang w:val="en-US" w:eastAsia="zh-CN"/>
        </w:rPr>
        <w:t>二</w:t>
      </w:r>
      <w:r>
        <w:rPr>
          <w:rFonts w:hint="default" w:ascii="Times New Roman" w:hAnsi="Times New Roman" w:eastAsia="仿宋_GB2312" w:cs="Times New Roman"/>
          <w:kern w:val="0"/>
          <w:sz w:val="32"/>
          <w:szCs w:val="32"/>
        </w:rPr>
        <w:t>条规定的基本条件，承诺申请</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水电站安全生产标准化评审中所提交的各类材料均真实、合法、有效，复印件与原件一致，并加盖单位公章。</w:t>
      </w:r>
    </w:p>
    <w:p w14:paraId="1BCB09B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p>
    <w:p w14:paraId="6CC3A23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p>
    <w:p w14:paraId="6205942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附录：A．</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水电站安全生产标准化评审申请表</w:t>
      </w:r>
    </w:p>
    <w:p w14:paraId="3D3E5892">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B．</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水电站安全生产标准化自评报告（格式）</w:t>
      </w:r>
    </w:p>
    <w:p w14:paraId="1420726D">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C</w:t>
      </w:r>
      <w:r>
        <w:rPr>
          <w:rFonts w:hint="default" w:ascii="Times New Roman" w:hAnsi="Times New Roman" w:eastAsia="仿宋_GB2312" w:cs="Times New Roman"/>
          <w:kern w:val="0"/>
          <w:sz w:val="32"/>
          <w:szCs w:val="32"/>
        </w:rPr>
        <w:t>．支撑性材料清单</w:t>
      </w:r>
    </w:p>
    <w:p w14:paraId="337BAED1">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D</w:t>
      </w:r>
      <w:r>
        <w:rPr>
          <w:rFonts w:hint="default" w:ascii="Times New Roman" w:hAnsi="Times New Roman" w:eastAsia="仿宋_GB2312" w:cs="Times New Roman"/>
          <w:kern w:val="0"/>
          <w:sz w:val="32"/>
          <w:szCs w:val="32"/>
        </w:rPr>
        <w:t>．承诺书</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首次申报格式</w:t>
      </w:r>
      <w:r>
        <w:rPr>
          <w:rFonts w:hint="default" w:ascii="Times New Roman" w:hAnsi="Times New Roman" w:eastAsia="仿宋_GB2312" w:cs="Times New Roman"/>
          <w:kern w:val="0"/>
          <w:sz w:val="32"/>
          <w:szCs w:val="32"/>
          <w:lang w:eastAsia="zh-CN"/>
        </w:rPr>
        <w:t>）</w:t>
      </w:r>
    </w:p>
    <w:p w14:paraId="78E15A93">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E</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w:t>
      </w:r>
      <w:r>
        <w:rPr>
          <w:rFonts w:hint="default" w:ascii="Times New Roman" w:hAnsi="Times New Roman" w:eastAsia="仿宋_GB2312" w:cs="Times New Roman"/>
          <w:kern w:val="0"/>
          <w:sz w:val="32"/>
          <w:szCs w:val="32"/>
          <w:lang w:val="en-US" w:eastAsia="zh-CN"/>
        </w:rPr>
        <w:t>期满延续申请表</w:t>
      </w:r>
    </w:p>
    <w:p w14:paraId="39726B39">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F</w:t>
      </w:r>
      <w:r>
        <w:rPr>
          <w:rFonts w:hint="default" w:ascii="Times New Roman" w:hAnsi="Times New Roman" w:eastAsia="仿宋_GB2312" w:cs="Times New Roman"/>
          <w:kern w:val="0"/>
          <w:sz w:val="32"/>
          <w:szCs w:val="32"/>
        </w:rPr>
        <w:t>．小</w:t>
      </w:r>
      <w:r>
        <w:rPr>
          <w:rFonts w:hint="default" w:ascii="Times New Roman" w:hAnsi="Times New Roman" w:eastAsia="仿宋_GB2312" w:cs="Times New Roman"/>
          <w:kern w:val="0"/>
          <w:sz w:val="32"/>
          <w:szCs w:val="32"/>
          <w:lang w:val="en-US" w:eastAsia="zh-CN"/>
        </w:rPr>
        <w:t>型</w:t>
      </w:r>
      <w:r>
        <w:rPr>
          <w:rFonts w:hint="default" w:ascii="Times New Roman" w:hAnsi="Times New Roman" w:eastAsia="仿宋_GB2312" w:cs="Times New Roman"/>
          <w:kern w:val="0"/>
          <w:sz w:val="32"/>
          <w:szCs w:val="32"/>
        </w:rPr>
        <w:t>电站安全生产标准化年度自评报告（格式）</w:t>
      </w:r>
    </w:p>
    <w:p w14:paraId="65E00FF6">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val="en-US" w:eastAsia="zh-CN"/>
        </w:rPr>
        <w:sectPr>
          <w:footerReference r:id="rId5" w:type="default"/>
          <w:footerReference r:id="rId6" w:type="even"/>
          <w:pgSz w:w="11906" w:h="16838"/>
          <w:pgMar w:top="2098" w:right="1531" w:bottom="1985" w:left="1531" w:header="851" w:footer="992" w:gutter="0"/>
          <w:pgNumType w:fmt="decimal"/>
          <w:cols w:space="720" w:num="1"/>
          <w:docGrid w:linePitch="435" w:charSpace="0"/>
        </w:sectPr>
      </w:pPr>
      <w:r>
        <w:rPr>
          <w:rFonts w:hint="default" w:ascii="Times New Roman" w:hAnsi="Times New Roman" w:eastAsia="仿宋_GB2312" w:cs="Times New Roman"/>
          <w:kern w:val="0"/>
          <w:sz w:val="32"/>
          <w:szCs w:val="32"/>
          <w:lang w:val="en-US" w:eastAsia="zh-CN"/>
        </w:rPr>
        <w:t xml:space="preserve">G. </w:t>
      </w:r>
      <w:r>
        <w:rPr>
          <w:rFonts w:hint="default" w:ascii="Times New Roman" w:hAnsi="Times New Roman" w:eastAsia="仿宋_GB2312" w:cs="Times New Roman"/>
          <w:kern w:val="0"/>
          <w:sz w:val="32"/>
          <w:szCs w:val="32"/>
        </w:rPr>
        <w:t>承诺书</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期满延续格式</w:t>
      </w:r>
      <w:r>
        <w:rPr>
          <w:rFonts w:hint="default" w:ascii="Times New Roman" w:hAnsi="Times New Roman" w:eastAsia="仿宋_GB2312" w:cs="Times New Roman"/>
          <w:kern w:val="0"/>
          <w:sz w:val="32"/>
          <w:szCs w:val="32"/>
          <w:lang w:eastAsia="zh-CN"/>
        </w:rPr>
        <w:t>）</w:t>
      </w:r>
    </w:p>
    <w:p w14:paraId="0F92FB93">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附录A</w:t>
      </w:r>
    </w:p>
    <w:p w14:paraId="017B824D">
      <w:pPr>
        <w:widowControl/>
        <w:spacing w:line="360" w:lineRule="auto"/>
        <w:ind w:firstLine="600" w:firstLineChars="200"/>
        <w:jc w:val="left"/>
        <w:rPr>
          <w:rFonts w:hint="default" w:ascii="Times New Roman" w:hAnsi="Times New Roman" w:eastAsia="仿宋" w:cs="Times New Roman"/>
          <w:kern w:val="0"/>
          <w:sz w:val="30"/>
          <w:szCs w:val="30"/>
        </w:rPr>
      </w:pPr>
    </w:p>
    <w:p w14:paraId="547A1991">
      <w:pPr>
        <w:widowControl/>
        <w:spacing w:line="360" w:lineRule="auto"/>
        <w:ind w:firstLine="600" w:firstLineChars="200"/>
        <w:jc w:val="left"/>
        <w:rPr>
          <w:rFonts w:hint="default" w:ascii="Times New Roman" w:hAnsi="Times New Roman" w:eastAsia="仿宋" w:cs="Times New Roman"/>
          <w:kern w:val="0"/>
          <w:sz w:val="30"/>
          <w:szCs w:val="30"/>
        </w:rPr>
      </w:pPr>
    </w:p>
    <w:p w14:paraId="421239BD">
      <w:pPr>
        <w:widowControl/>
        <w:spacing w:line="360" w:lineRule="auto"/>
        <w:ind w:firstLine="600" w:firstLineChars="200"/>
        <w:jc w:val="left"/>
        <w:rPr>
          <w:rFonts w:hint="default" w:ascii="Times New Roman" w:hAnsi="Times New Roman" w:eastAsia="仿宋" w:cs="Times New Roman"/>
          <w:kern w:val="0"/>
          <w:sz w:val="30"/>
          <w:szCs w:val="30"/>
        </w:rPr>
      </w:pPr>
    </w:p>
    <w:p w14:paraId="1229AF0B">
      <w:pPr>
        <w:jc w:val="center"/>
        <w:rPr>
          <w:rFonts w:hint="default" w:ascii="Times New Roman" w:hAnsi="Times New Roman" w:eastAsia="黑体" w:cs="Times New Roman"/>
          <w:b/>
          <w:sz w:val="52"/>
          <w:szCs w:val="52"/>
        </w:rPr>
      </w:pPr>
      <w:r>
        <w:rPr>
          <w:rFonts w:hint="default" w:ascii="Times New Roman" w:hAnsi="Times New Roman" w:eastAsia="黑体" w:cs="Times New Roman"/>
          <w:b/>
          <w:sz w:val="52"/>
          <w:szCs w:val="52"/>
          <w:lang w:val="en-US" w:eastAsia="zh-CN"/>
        </w:rPr>
        <w:t>小型</w:t>
      </w:r>
      <w:r>
        <w:rPr>
          <w:rFonts w:hint="default" w:ascii="Times New Roman" w:hAnsi="Times New Roman" w:eastAsia="黑体" w:cs="Times New Roman"/>
          <w:b/>
          <w:sz w:val="52"/>
          <w:szCs w:val="52"/>
        </w:rPr>
        <w:t>水电站安全生产标准化</w:t>
      </w:r>
    </w:p>
    <w:p w14:paraId="4D4ABB98">
      <w:pPr>
        <w:jc w:val="center"/>
        <w:rPr>
          <w:rFonts w:hint="default" w:ascii="Times New Roman" w:hAnsi="Times New Roman" w:eastAsia="黑体" w:cs="Times New Roman"/>
          <w:b/>
          <w:sz w:val="52"/>
          <w:szCs w:val="52"/>
        </w:rPr>
      </w:pPr>
      <w:r>
        <w:rPr>
          <w:rFonts w:hint="default" w:ascii="Times New Roman" w:hAnsi="Times New Roman" w:eastAsia="黑体" w:cs="Times New Roman"/>
          <w:b/>
          <w:sz w:val="52"/>
          <w:szCs w:val="52"/>
        </w:rPr>
        <w:t>评审申请表</w:t>
      </w:r>
    </w:p>
    <w:p w14:paraId="6DC53A59">
      <w:pPr>
        <w:adjustRightInd w:val="0"/>
        <w:snapToGrid w:val="0"/>
        <w:jc w:val="center"/>
        <w:rPr>
          <w:rFonts w:hint="default" w:ascii="Times New Roman" w:hAnsi="Times New Roman" w:cs="Times New Roman"/>
          <w:snapToGrid w:val="0"/>
        </w:rPr>
      </w:pPr>
    </w:p>
    <w:p w14:paraId="4E9ED718">
      <w:pPr>
        <w:adjustRightInd w:val="0"/>
        <w:snapToGrid w:val="0"/>
        <w:jc w:val="center"/>
        <w:rPr>
          <w:rFonts w:hint="default" w:ascii="Times New Roman" w:hAnsi="Times New Roman" w:cs="Times New Roman"/>
          <w:snapToGrid w:val="0"/>
        </w:rPr>
      </w:pPr>
    </w:p>
    <w:p w14:paraId="1206B9A5">
      <w:pPr>
        <w:adjustRightInd w:val="0"/>
        <w:snapToGrid w:val="0"/>
        <w:jc w:val="center"/>
        <w:rPr>
          <w:rFonts w:hint="default" w:ascii="Times New Roman" w:hAnsi="Times New Roman" w:cs="Times New Roman"/>
          <w:snapToGrid w:val="0"/>
          <w:sz w:val="30"/>
          <w:szCs w:val="30"/>
        </w:rPr>
      </w:pPr>
    </w:p>
    <w:p w14:paraId="5BF6F270">
      <w:pPr>
        <w:adjustRightInd w:val="0"/>
        <w:snapToGrid w:val="0"/>
        <w:jc w:val="center"/>
        <w:rPr>
          <w:rFonts w:hint="default" w:ascii="Times New Roman" w:hAnsi="Times New Roman" w:cs="Times New Roman"/>
          <w:snapToGrid w:val="0"/>
          <w:sz w:val="30"/>
          <w:szCs w:val="30"/>
        </w:rPr>
      </w:pPr>
    </w:p>
    <w:p w14:paraId="6BCFE6A7">
      <w:pPr>
        <w:adjustRightInd w:val="0"/>
        <w:snapToGrid w:val="0"/>
        <w:jc w:val="center"/>
        <w:rPr>
          <w:rFonts w:hint="default" w:ascii="Times New Roman" w:hAnsi="Times New Roman" w:cs="Times New Roman"/>
          <w:snapToGrid w:val="0"/>
          <w:sz w:val="30"/>
          <w:szCs w:val="30"/>
        </w:rPr>
      </w:pPr>
    </w:p>
    <w:p w14:paraId="7C933BCF">
      <w:pPr>
        <w:adjustRightInd w:val="0"/>
        <w:snapToGrid w:val="0"/>
        <w:jc w:val="center"/>
        <w:rPr>
          <w:rFonts w:hint="default" w:ascii="Times New Roman" w:hAnsi="Times New Roman" w:cs="Times New Roman"/>
          <w:snapToGrid w:val="0"/>
          <w:sz w:val="30"/>
          <w:szCs w:val="30"/>
        </w:rPr>
      </w:pPr>
    </w:p>
    <w:p w14:paraId="0D9D33F1">
      <w:pPr>
        <w:adjustRightInd w:val="0"/>
        <w:snapToGrid w:val="0"/>
        <w:jc w:val="center"/>
        <w:rPr>
          <w:rFonts w:hint="default" w:ascii="Times New Roman" w:hAnsi="Times New Roman" w:cs="Times New Roman"/>
          <w:snapToGrid w:val="0"/>
          <w:sz w:val="30"/>
          <w:szCs w:val="30"/>
        </w:rPr>
      </w:pPr>
    </w:p>
    <w:p w14:paraId="38C754D6">
      <w:pPr>
        <w:adjustRightInd w:val="0"/>
        <w:snapToGrid w:val="0"/>
        <w:jc w:val="center"/>
        <w:rPr>
          <w:rFonts w:hint="default" w:ascii="Times New Roman" w:hAnsi="Times New Roman" w:cs="Times New Roman"/>
          <w:snapToGrid w:val="0"/>
          <w:sz w:val="30"/>
          <w:szCs w:val="30"/>
        </w:rPr>
      </w:pPr>
    </w:p>
    <w:p w14:paraId="140D6245">
      <w:pPr>
        <w:adjustRightInd w:val="0"/>
        <w:snapToGrid w:val="0"/>
        <w:jc w:val="center"/>
        <w:rPr>
          <w:rFonts w:hint="default" w:ascii="Times New Roman" w:hAnsi="Times New Roman" w:cs="Times New Roman"/>
          <w:snapToGrid w:val="0"/>
          <w:sz w:val="30"/>
          <w:szCs w:val="30"/>
        </w:rPr>
      </w:pPr>
    </w:p>
    <w:p w14:paraId="321D1112">
      <w:pPr>
        <w:adjustRightInd w:val="0"/>
        <w:snapToGrid w:val="0"/>
        <w:rPr>
          <w:rFonts w:hint="default" w:ascii="Times New Roman" w:hAnsi="Times New Roman" w:cs="Times New Roman"/>
          <w:snapToGrid w:val="0"/>
          <w:sz w:val="30"/>
          <w:szCs w:val="30"/>
        </w:rPr>
      </w:pPr>
    </w:p>
    <w:p w14:paraId="195E146D">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z w:val="30"/>
        </w:rPr>
        <mc:AlternateContent>
          <mc:Choice Requires="wps">
            <w:drawing>
              <wp:anchor distT="0" distB="0" distL="114300" distR="114300" simplePos="0" relativeHeight="251660288" behindDoc="0" locked="0" layoutInCell="1" allowOverlap="1">
                <wp:simplePos x="0" y="0"/>
                <wp:positionH relativeFrom="column">
                  <wp:posOffset>1677670</wp:posOffset>
                </wp:positionH>
                <wp:positionV relativeFrom="paragraph">
                  <wp:posOffset>427355</wp:posOffset>
                </wp:positionV>
                <wp:extent cx="2183765" cy="635"/>
                <wp:effectExtent l="0" t="0" r="0" b="0"/>
                <wp:wrapNone/>
                <wp:docPr id="8" name="直接连接符 8"/>
                <wp:cNvGraphicFramePr/>
                <a:graphic xmlns:a="http://schemas.openxmlformats.org/drawingml/2006/main">
                  <a:graphicData uri="http://schemas.microsoft.com/office/word/2010/wordprocessingShape">
                    <wps:wsp>
                      <wps:cNvCnPr/>
                      <wps:spPr>
                        <a:xfrm>
                          <a:off x="0" y="0"/>
                          <a:ext cx="218376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2.1pt;margin-top:33.65pt;height:0.05pt;width:171.95pt;z-index:251660288;mso-width-relative:page;mso-height-relative:page;" filled="f" stroked="t" coordsize="21600,21600" o:gfxdata="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AHwK9gAAAAJAQAADwAAAAAAAAABACAAAAAiAAAAZHJzL2Rvd25yZXYueG1sUEsB&#10;AhQAFAAAAAgAh07iQOA2D7f1AQAA5gMAAA4AAAAAAAAAAQAgAAAAJwEAAGRycy9lMm9Eb2MueG1s&#10;UEsFBgAAAAAGAAYAWQEAAI4FAAAAAA==&#10;">
                <v:fill on="f" focussize="0,0"/>
                <v:stroke color="#000000" joinstyle="round"/>
                <v:imagedata o:title=""/>
                <o:lock v:ext="edit" aspectratio="f"/>
              </v:line>
            </w:pict>
          </mc:Fallback>
        </mc:AlternateContent>
      </w:r>
      <w:r>
        <w:rPr>
          <w:rFonts w:hint="default" w:ascii="Times New Roman" w:hAnsi="Times New Roman" w:cs="Times New Roman"/>
          <w:snapToGrid w:val="0"/>
          <w:sz w:val="30"/>
          <w:szCs w:val="30"/>
        </w:rPr>
        <w:t>申请单位：</w:t>
      </w:r>
    </w:p>
    <w:p w14:paraId="1F214772">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u w:val="single"/>
        </w:rPr>
      </w:pPr>
      <w:r>
        <w:rPr>
          <w:rFonts w:hint="default" w:ascii="Times New Roman" w:hAnsi="Times New Roman" w:cs="Times New Roman"/>
          <w:sz w:val="30"/>
        </w:rPr>
        <mc:AlternateContent>
          <mc:Choice Requires="wps">
            <w:drawing>
              <wp:anchor distT="0" distB="0" distL="114300" distR="114300" simplePos="0" relativeHeight="251659264" behindDoc="0" locked="0" layoutInCell="1" allowOverlap="1">
                <wp:simplePos x="0" y="0"/>
                <wp:positionH relativeFrom="column">
                  <wp:posOffset>1701165</wp:posOffset>
                </wp:positionH>
                <wp:positionV relativeFrom="paragraph">
                  <wp:posOffset>192405</wp:posOffset>
                </wp:positionV>
                <wp:extent cx="218376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218376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95pt;margin-top:15.15pt;height:0.05pt;width:171.95pt;z-index:251659264;mso-width-relative:page;mso-height-relative:page;" filled="f" stroked="t" coordsize="21600,21600" o:gfxdata="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cuw2t1gAAAAkBAAAPAAAAAAAAAAEAIAAAACIAAABkcnMvZG93bnJldi54bWxQSwEC&#10;FAAUAAAACACHTuJAFUaSavYBAADmAwAADgAAAAAAAAABACAAAAAlAQAAZHJzL2Uyb0RvYy54bWxQ&#10;SwUGAAAAAAYABgBZAQAAjQUAAAAA&#10;">
                <v:fill on="f" focussize="0,0"/>
                <v:stroke color="#000000" joinstyle="round"/>
                <v:imagedata o:title=""/>
                <o:lock v:ext="edit" aspectratio="f"/>
              </v:line>
            </w:pict>
          </mc:Fallback>
        </mc:AlternateContent>
      </w:r>
      <w:r>
        <w:rPr>
          <w:rFonts w:hint="default" w:ascii="Times New Roman" w:hAnsi="Times New Roman" w:cs="Times New Roman"/>
          <w:snapToGrid w:val="0"/>
          <w:sz w:val="30"/>
          <w:szCs w:val="30"/>
          <w:u w:val="none"/>
          <w:lang w:val="en" w:eastAsia="zh-CN"/>
        </w:rPr>
        <w:t>申请等级：</w:t>
      </w:r>
      <w:r>
        <w:rPr>
          <w:rFonts w:hint="default" w:ascii="Times New Roman" w:hAnsi="Times New Roman" w:cs="Times New Roman"/>
          <w:snapToGrid w:val="0"/>
          <w:sz w:val="30"/>
          <w:szCs w:val="30"/>
          <w:u w:val="none"/>
          <w:lang w:val="en"/>
        </w:rPr>
        <w:t xml:space="preserve"> </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u w:val="single"/>
          <w:lang w:val="en"/>
        </w:rPr>
        <w:t xml:space="preserve">                                                                                      </w:t>
      </w:r>
      <w:r>
        <w:rPr>
          <w:rFonts w:hint="default" w:ascii="Times New Roman" w:hAnsi="Times New Roman" w:cs="Times New Roman"/>
          <w:snapToGrid w:val="0"/>
          <w:sz w:val="30"/>
          <w:szCs w:val="30"/>
          <w:u w:val="single"/>
        </w:rPr>
        <w:t xml:space="preserve">                              </w:t>
      </w:r>
    </w:p>
    <w:p w14:paraId="1B5FB02A">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napToGrid w:val="0"/>
          <w:sz w:val="30"/>
          <w:szCs w:val="30"/>
        </w:rPr>
        <w:t>申请性质：</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28"/>
          <w:szCs w:val="28"/>
          <w:u w:val="single"/>
        </w:rPr>
        <w:t>□</w:t>
      </w:r>
      <w:r>
        <w:rPr>
          <w:rFonts w:hint="default" w:ascii="Times New Roman" w:hAnsi="Times New Roman" w:eastAsia="仿宋" w:cs="Times New Roman"/>
          <w:sz w:val="30"/>
          <w:szCs w:val="30"/>
          <w:u w:val="single"/>
        </w:rPr>
        <w:t xml:space="preserve">初次评审     </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28"/>
          <w:szCs w:val="28"/>
          <w:u w:val="single"/>
        </w:rPr>
        <w:t>□</w:t>
      </w:r>
      <w:r>
        <w:rPr>
          <w:rFonts w:hint="default" w:ascii="Times New Roman" w:hAnsi="Times New Roman" w:eastAsia="仿宋" w:cs="Times New Roman"/>
          <w:sz w:val="30"/>
          <w:szCs w:val="30"/>
          <w:u w:val="single"/>
        </w:rPr>
        <w:t>复评</w:t>
      </w:r>
      <w:r>
        <w:rPr>
          <w:rFonts w:hint="default" w:ascii="Times New Roman" w:hAnsi="Times New Roman" w:cs="Times New Roman"/>
          <w:snapToGrid w:val="0"/>
          <w:sz w:val="30"/>
          <w:szCs w:val="30"/>
          <w:u w:val="single"/>
        </w:rPr>
        <w:t xml:space="preserve">     </w:t>
      </w:r>
    </w:p>
    <w:p w14:paraId="49E13D98">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napToGrid w:val="0"/>
          <w:sz w:val="30"/>
          <w:szCs w:val="30"/>
        </w:rPr>
        <w:t>申请日期：</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年</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月</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日</w:t>
      </w:r>
    </w:p>
    <w:p w14:paraId="2F587486">
      <w:pPr>
        <w:adjustRightInd w:val="0"/>
        <w:snapToGrid w:val="0"/>
        <w:spacing w:before="120" w:beforeLines="50"/>
        <w:ind w:firstLine="1200" w:firstLineChars="400"/>
        <w:rPr>
          <w:rFonts w:hint="default" w:ascii="Times New Roman" w:hAnsi="Times New Roman" w:cs="Times New Roman"/>
          <w:snapToGrid w:val="0"/>
          <w:sz w:val="30"/>
          <w:szCs w:val="30"/>
        </w:rPr>
      </w:pPr>
    </w:p>
    <w:p w14:paraId="5E993DE0">
      <w:pPr>
        <w:adjustRightInd w:val="0"/>
        <w:snapToGrid w:val="0"/>
        <w:spacing w:before="120" w:beforeLines="50"/>
        <w:ind w:firstLine="1200" w:firstLineChars="400"/>
        <w:rPr>
          <w:rFonts w:hint="default" w:ascii="Times New Roman" w:hAnsi="Times New Roman" w:cs="Times New Roman"/>
          <w:snapToGrid w:val="0"/>
          <w:sz w:val="30"/>
          <w:szCs w:val="30"/>
          <w:u w:val="single"/>
        </w:rPr>
      </w:pPr>
    </w:p>
    <w:p w14:paraId="43F341FB">
      <w:pPr>
        <w:adjustRightInd w:val="0"/>
        <w:snapToGrid w:val="0"/>
        <w:spacing w:before="120" w:beforeLines="50"/>
        <w:ind w:firstLine="1200" w:firstLineChars="400"/>
        <w:rPr>
          <w:rFonts w:hint="default" w:ascii="Times New Roman" w:hAnsi="Times New Roman" w:cs="Times New Roman"/>
          <w:snapToGrid w:val="0"/>
          <w:sz w:val="30"/>
          <w:szCs w:val="30"/>
        </w:rPr>
      </w:pPr>
    </w:p>
    <w:p w14:paraId="0A5F0461">
      <w:pPr>
        <w:adjustRightInd w:val="0"/>
        <w:snapToGrid w:val="0"/>
        <w:rPr>
          <w:rFonts w:hint="default" w:ascii="Times New Roman" w:hAnsi="Times New Roman" w:cs="Times New Roman"/>
          <w:snapToGrid w:val="0"/>
          <w:sz w:val="30"/>
          <w:szCs w:val="30"/>
        </w:rPr>
      </w:pPr>
    </w:p>
    <w:p w14:paraId="2FF2867C">
      <w:pPr>
        <w:adjustRightInd w:val="0"/>
        <w:snapToGrid w:val="0"/>
        <w:rPr>
          <w:rFonts w:hint="default" w:ascii="Times New Roman" w:hAnsi="Times New Roman" w:cs="Times New Roman"/>
          <w:snapToGrid w:val="0"/>
          <w:sz w:val="30"/>
          <w:szCs w:val="30"/>
        </w:rPr>
      </w:pPr>
    </w:p>
    <w:p w14:paraId="544EE833">
      <w:pPr>
        <w:adjustRightInd w:val="0"/>
        <w:snapToGrid w:val="0"/>
        <w:jc w:val="center"/>
        <w:rPr>
          <w:rFonts w:hint="default" w:ascii="Times New Roman" w:hAnsi="Times New Roman" w:cs="Times New Roman"/>
          <w:b/>
          <w:snapToGrid w:val="0"/>
          <w:sz w:val="36"/>
          <w:szCs w:val="36"/>
        </w:rPr>
      </w:pPr>
      <w:r>
        <w:rPr>
          <w:rFonts w:hint="default" w:ascii="Times New Roman" w:hAnsi="Times New Roman" w:cs="Times New Roman"/>
          <w:snapToGrid w:val="0"/>
          <w:sz w:val="30"/>
          <w:szCs w:val="30"/>
        </w:rPr>
        <w:t>新疆维吾尔自治区水利厅制</w:t>
      </w:r>
    </w:p>
    <w:p w14:paraId="024B0137">
      <w:pPr>
        <w:spacing w:before="600" w:beforeLines="250" w:after="360" w:afterLines="150" w:line="240" w:lineRule="auto"/>
        <w:jc w:val="center"/>
        <w:rPr>
          <w:rFonts w:hint="default" w:ascii="Times New Roman" w:hAnsi="Times New Roman" w:eastAsia="黑体" w:cs="Times New Roman"/>
          <w:bCs/>
          <w:kern w:val="0"/>
          <w:sz w:val="36"/>
          <w:szCs w:val="36"/>
        </w:rPr>
      </w:pPr>
      <w:r>
        <w:rPr>
          <w:rFonts w:hint="default" w:ascii="Times New Roman" w:hAnsi="Times New Roman" w:cs="Times New Roman"/>
          <w:sz w:val="30"/>
          <w:szCs w:val="30"/>
        </w:rPr>
        <w:br w:type="page"/>
      </w:r>
      <w:r>
        <w:rPr>
          <w:rFonts w:hint="default" w:ascii="Times New Roman" w:hAnsi="Times New Roman" w:eastAsia="黑体" w:cs="Times New Roman"/>
          <w:bCs/>
          <w:kern w:val="0"/>
          <w:sz w:val="36"/>
          <w:szCs w:val="36"/>
        </w:rPr>
        <w:t>申请表填报说明</w:t>
      </w:r>
    </w:p>
    <w:p w14:paraId="4513AC03">
      <w:pPr>
        <w:ind w:firstLine="450" w:firstLineChars="150"/>
        <w:rPr>
          <w:rFonts w:hint="default" w:ascii="Times New Roman" w:hAnsi="Times New Roman" w:cs="Times New Roman"/>
          <w:sz w:val="30"/>
          <w:szCs w:val="30"/>
        </w:rPr>
      </w:pPr>
    </w:p>
    <w:p w14:paraId="6EDAE43D">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1.“申请单位”填写完整名称并加盖申请单位印章。</w:t>
      </w:r>
      <w:r>
        <w:rPr>
          <w:rFonts w:hint="default" w:ascii="Times New Roman" w:hAnsi="Times New Roman" w:eastAsia="仿宋" w:cs="Times New Roman"/>
          <w:sz w:val="32"/>
          <w:szCs w:val="32"/>
          <w:lang w:val="en-US" w:eastAsia="zh-CN"/>
        </w:rPr>
        <w:t>如：xxx公司xxx水电站。</w:t>
      </w:r>
    </w:p>
    <w:p w14:paraId="15E3AAFB">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2.“申请性质”为“初次评审”或“复评”。</w:t>
      </w:r>
    </w:p>
    <w:p w14:paraId="0E2D261D">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3.“单位性质”为：国有、集体、股份制、私营、混合（中外合资、中外合作）、外商独资。</w:t>
      </w:r>
    </w:p>
    <w:p w14:paraId="6A16D445">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4.没有上级主管单位的，“上级主管单位意见”不填。</w:t>
      </w:r>
    </w:p>
    <w:p w14:paraId="771A1877">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5.本表一式三份，申请单位、相关主管部门各存档一份。</w:t>
      </w:r>
    </w:p>
    <w:p w14:paraId="72DD0D4E">
      <w:pPr>
        <w:spacing w:line="240" w:lineRule="auto"/>
        <w:ind w:firstLine="420" w:firstLineChars="200"/>
        <w:rPr>
          <w:rFonts w:hint="default" w:ascii="Times New Roman" w:hAnsi="Times New Roman" w:eastAsia="仿宋" w:cs="Times New Roman"/>
        </w:rPr>
      </w:pPr>
    </w:p>
    <w:p w14:paraId="17173626">
      <w:pPr>
        <w:rPr>
          <w:rFonts w:hint="default" w:ascii="Times New Roman" w:hAnsi="Times New Roman" w:cs="Times New Roman"/>
          <w:b/>
          <w:snapToGrid w:val="0"/>
          <w:sz w:val="36"/>
          <w:szCs w:val="36"/>
        </w:rPr>
      </w:pPr>
    </w:p>
    <w:p w14:paraId="78CC296C">
      <w:pPr>
        <w:rPr>
          <w:rFonts w:hint="default" w:ascii="Times New Roman" w:hAnsi="Times New Roman" w:cs="Times New Roman"/>
          <w:b/>
          <w:snapToGrid w:val="0"/>
          <w:sz w:val="36"/>
          <w:szCs w:val="36"/>
        </w:rPr>
      </w:pPr>
    </w:p>
    <w:p w14:paraId="20042000">
      <w:pPr>
        <w:rPr>
          <w:rFonts w:hint="default" w:ascii="Times New Roman" w:hAnsi="Times New Roman" w:cs="Times New Roman"/>
          <w:b/>
          <w:snapToGrid w:val="0"/>
          <w:sz w:val="36"/>
          <w:szCs w:val="36"/>
        </w:rPr>
      </w:pPr>
    </w:p>
    <w:p w14:paraId="7B1AE6A1">
      <w:pPr>
        <w:rPr>
          <w:rFonts w:hint="default" w:ascii="Times New Roman" w:hAnsi="Times New Roman" w:cs="Times New Roman"/>
          <w:b/>
          <w:snapToGrid w:val="0"/>
          <w:sz w:val="36"/>
          <w:szCs w:val="36"/>
        </w:rPr>
      </w:pPr>
    </w:p>
    <w:p w14:paraId="15FA2045">
      <w:pPr>
        <w:rPr>
          <w:rFonts w:hint="default" w:ascii="Times New Roman" w:hAnsi="Times New Roman" w:cs="Times New Roman"/>
          <w:b/>
          <w:snapToGrid w:val="0"/>
          <w:sz w:val="36"/>
          <w:szCs w:val="36"/>
        </w:rPr>
      </w:pPr>
    </w:p>
    <w:p w14:paraId="703541FE">
      <w:pPr>
        <w:rPr>
          <w:rFonts w:hint="default" w:ascii="Times New Roman" w:hAnsi="Times New Roman" w:cs="Times New Roman"/>
          <w:b/>
          <w:snapToGrid w:val="0"/>
          <w:sz w:val="36"/>
          <w:szCs w:val="36"/>
        </w:rPr>
      </w:pPr>
    </w:p>
    <w:p w14:paraId="24CE2983">
      <w:pPr>
        <w:rPr>
          <w:rFonts w:hint="default" w:ascii="Times New Roman" w:hAnsi="Times New Roman" w:cs="Times New Roman"/>
          <w:b/>
          <w:snapToGrid w:val="0"/>
          <w:sz w:val="36"/>
          <w:szCs w:val="36"/>
        </w:rPr>
      </w:pPr>
    </w:p>
    <w:p w14:paraId="655150D5">
      <w:pPr>
        <w:rPr>
          <w:rFonts w:hint="default" w:ascii="Times New Roman" w:hAnsi="Times New Roman" w:cs="Times New Roman"/>
          <w:b/>
          <w:snapToGrid w:val="0"/>
          <w:sz w:val="36"/>
          <w:szCs w:val="36"/>
        </w:rPr>
      </w:pPr>
    </w:p>
    <w:p w14:paraId="170D6398">
      <w:pPr>
        <w:rPr>
          <w:rFonts w:hint="default" w:ascii="Times New Roman" w:hAnsi="Times New Roman" w:cs="Times New Roman"/>
          <w:b/>
          <w:snapToGrid w:val="0"/>
          <w:sz w:val="36"/>
          <w:szCs w:val="36"/>
        </w:rPr>
      </w:pPr>
    </w:p>
    <w:p w14:paraId="0A29E387">
      <w:pPr>
        <w:rPr>
          <w:rFonts w:hint="default" w:ascii="Times New Roman" w:hAnsi="Times New Roman" w:cs="Times New Roman"/>
          <w:b/>
          <w:snapToGrid w:val="0"/>
          <w:sz w:val="36"/>
          <w:szCs w:val="36"/>
        </w:rPr>
      </w:pPr>
    </w:p>
    <w:p w14:paraId="7B394F5F">
      <w:pPr>
        <w:jc w:val="center"/>
        <w:rPr>
          <w:rFonts w:hint="default" w:ascii="Times New Roman" w:hAnsi="Times New Roman" w:eastAsia="方正小标宋_GBK" w:cs="Times New Roman"/>
          <w:b w:val="0"/>
          <w:bCs/>
          <w:snapToGrid w:val="0"/>
          <w:sz w:val="40"/>
          <w:szCs w:val="40"/>
        </w:rPr>
      </w:pPr>
      <w:r>
        <w:rPr>
          <w:rFonts w:hint="default" w:ascii="Times New Roman" w:hAnsi="Times New Roman" w:eastAsia="方正小标宋_GBK" w:cs="Times New Roman"/>
          <w:b w:val="0"/>
          <w:bCs/>
          <w:snapToGrid w:val="0"/>
          <w:sz w:val="36"/>
          <w:szCs w:val="36"/>
        </w:rPr>
        <w:br w:type="page"/>
      </w:r>
      <w:r>
        <w:rPr>
          <w:rFonts w:hint="default" w:ascii="Times New Roman" w:hAnsi="Times New Roman" w:eastAsia="方正小标宋_GBK" w:cs="Times New Roman"/>
          <w:b w:val="0"/>
          <w:bCs/>
          <w:snapToGrid w:val="0"/>
          <w:sz w:val="40"/>
          <w:szCs w:val="40"/>
          <w:lang w:val="en-US" w:eastAsia="zh-CN"/>
        </w:rPr>
        <w:t>小型</w:t>
      </w:r>
      <w:r>
        <w:rPr>
          <w:rFonts w:hint="default" w:ascii="Times New Roman" w:hAnsi="Times New Roman" w:eastAsia="方正小标宋_GBK" w:cs="Times New Roman"/>
          <w:b w:val="0"/>
          <w:bCs/>
          <w:snapToGrid w:val="0"/>
          <w:sz w:val="40"/>
          <w:szCs w:val="40"/>
        </w:rPr>
        <w:t>水电站安全生产标准化评审申请表</w:t>
      </w:r>
    </w:p>
    <w:p w14:paraId="68404179">
      <w:pPr>
        <w:jc w:val="center"/>
        <w:rPr>
          <w:rFonts w:hint="default" w:ascii="Times New Roman" w:hAnsi="Times New Roman" w:cs="Times New Roman"/>
          <w:b/>
          <w:snapToGrid w:val="0"/>
          <w:sz w:val="40"/>
          <w:szCs w:val="40"/>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1562"/>
        <w:gridCol w:w="1421"/>
        <w:gridCol w:w="1562"/>
        <w:gridCol w:w="1421"/>
        <w:gridCol w:w="1570"/>
      </w:tblGrid>
      <w:tr w14:paraId="1640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10A66135">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申请单位</w:t>
            </w:r>
          </w:p>
        </w:tc>
        <w:tc>
          <w:tcPr>
            <w:tcW w:w="7536" w:type="dxa"/>
            <w:gridSpan w:val="5"/>
            <w:noWrap w:val="0"/>
            <w:vAlign w:val="top"/>
          </w:tcPr>
          <w:p w14:paraId="4E9C05C0">
            <w:pPr>
              <w:adjustRightInd w:val="0"/>
              <w:snapToGrid w:val="0"/>
              <w:spacing w:before="36" w:beforeLines="15"/>
              <w:rPr>
                <w:rFonts w:hint="default" w:ascii="Times New Roman" w:hAnsi="Times New Roman" w:eastAsia="仿宋" w:cs="Times New Roman"/>
                <w:snapToGrid w:val="0"/>
                <w:sz w:val="28"/>
                <w:szCs w:val="28"/>
              </w:rPr>
            </w:pPr>
          </w:p>
        </w:tc>
      </w:tr>
      <w:tr w14:paraId="1A80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03952061">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地    址</w:t>
            </w:r>
          </w:p>
        </w:tc>
        <w:tc>
          <w:tcPr>
            <w:tcW w:w="7536" w:type="dxa"/>
            <w:gridSpan w:val="5"/>
            <w:noWrap w:val="0"/>
            <w:vAlign w:val="top"/>
          </w:tcPr>
          <w:p w14:paraId="373804F9">
            <w:pPr>
              <w:adjustRightInd w:val="0"/>
              <w:snapToGrid w:val="0"/>
              <w:spacing w:before="36" w:beforeLines="15"/>
              <w:rPr>
                <w:rFonts w:hint="default" w:ascii="Times New Roman" w:hAnsi="Times New Roman" w:eastAsia="仿宋" w:cs="Times New Roman"/>
                <w:snapToGrid w:val="0"/>
                <w:sz w:val="28"/>
                <w:szCs w:val="28"/>
              </w:rPr>
            </w:pPr>
          </w:p>
        </w:tc>
      </w:tr>
      <w:tr w14:paraId="40CC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53A2E3A3">
            <w:pPr>
              <w:adjustRightInd w:val="0"/>
              <w:snapToGrid w:val="0"/>
              <w:spacing w:before="36" w:beforeLines="15"/>
              <w:ind w:left="-53" w:leftChars="-25" w:right="-53" w:rightChars="-2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单位性质</w:t>
            </w:r>
          </w:p>
        </w:tc>
        <w:tc>
          <w:tcPr>
            <w:tcW w:w="7536" w:type="dxa"/>
            <w:gridSpan w:val="5"/>
            <w:noWrap w:val="0"/>
            <w:vAlign w:val="center"/>
          </w:tcPr>
          <w:p w14:paraId="10092E89">
            <w:pPr>
              <w:adjustRightInd w:val="0"/>
              <w:snapToGrid w:val="0"/>
              <w:spacing w:before="36" w:beforeLines="15"/>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 xml:space="preserve">国有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集体</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股份制</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私营</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混合</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外商独资</w:t>
            </w:r>
          </w:p>
        </w:tc>
      </w:tr>
      <w:tr w14:paraId="2F10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37CD42B5">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职工总数</w:t>
            </w:r>
          </w:p>
        </w:tc>
        <w:tc>
          <w:tcPr>
            <w:tcW w:w="1562" w:type="dxa"/>
            <w:noWrap w:val="0"/>
            <w:vAlign w:val="center"/>
          </w:tcPr>
          <w:p w14:paraId="35574EAF">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c>
          <w:tcPr>
            <w:tcW w:w="1421" w:type="dxa"/>
            <w:noWrap w:val="0"/>
            <w:vAlign w:val="center"/>
          </w:tcPr>
          <w:p w14:paraId="63351ED6">
            <w:pPr>
              <w:adjustRightInd w:val="0"/>
              <w:snapToGrid w:val="0"/>
              <w:ind w:left="-53" w:leftChars="-25" w:right="-53" w:rightChars="-2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专职安全管理人员</w:t>
            </w:r>
          </w:p>
        </w:tc>
        <w:tc>
          <w:tcPr>
            <w:tcW w:w="1562" w:type="dxa"/>
            <w:noWrap w:val="0"/>
            <w:vAlign w:val="center"/>
          </w:tcPr>
          <w:p w14:paraId="2463A49B">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c>
          <w:tcPr>
            <w:tcW w:w="1421" w:type="dxa"/>
            <w:noWrap w:val="0"/>
            <w:vAlign w:val="center"/>
          </w:tcPr>
          <w:p w14:paraId="7654B019">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特种作业人    员</w:t>
            </w:r>
          </w:p>
        </w:tc>
        <w:tc>
          <w:tcPr>
            <w:tcW w:w="1570" w:type="dxa"/>
            <w:noWrap w:val="0"/>
            <w:vAlign w:val="center"/>
          </w:tcPr>
          <w:p w14:paraId="3682B851">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r>
      <w:tr w14:paraId="5AF8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29FCB71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法定代表人</w:t>
            </w:r>
          </w:p>
        </w:tc>
        <w:tc>
          <w:tcPr>
            <w:tcW w:w="1562" w:type="dxa"/>
            <w:noWrap w:val="0"/>
            <w:vAlign w:val="center"/>
          </w:tcPr>
          <w:p w14:paraId="6189ED44">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AFD090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  话</w:t>
            </w:r>
          </w:p>
        </w:tc>
        <w:tc>
          <w:tcPr>
            <w:tcW w:w="1562" w:type="dxa"/>
            <w:noWrap w:val="0"/>
            <w:vAlign w:val="center"/>
          </w:tcPr>
          <w:p w14:paraId="646802BF">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3E21C0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传    真</w:t>
            </w:r>
          </w:p>
        </w:tc>
        <w:tc>
          <w:tcPr>
            <w:tcW w:w="1570" w:type="dxa"/>
            <w:noWrap w:val="0"/>
            <w:vAlign w:val="center"/>
          </w:tcPr>
          <w:p w14:paraId="77631932">
            <w:pPr>
              <w:adjustRightInd w:val="0"/>
              <w:snapToGrid w:val="0"/>
              <w:spacing w:before="36" w:beforeLines="15"/>
              <w:jc w:val="center"/>
              <w:rPr>
                <w:rFonts w:hint="default" w:ascii="Times New Roman" w:hAnsi="Times New Roman" w:eastAsia="仿宋" w:cs="Times New Roman"/>
                <w:snapToGrid w:val="0"/>
                <w:sz w:val="28"/>
                <w:szCs w:val="28"/>
              </w:rPr>
            </w:pPr>
          </w:p>
        </w:tc>
      </w:tr>
      <w:tr w14:paraId="0A42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vMerge w:val="restart"/>
            <w:noWrap w:val="0"/>
            <w:vAlign w:val="center"/>
          </w:tcPr>
          <w:p w14:paraId="1DABE39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联 系 人</w:t>
            </w:r>
          </w:p>
        </w:tc>
        <w:tc>
          <w:tcPr>
            <w:tcW w:w="1562" w:type="dxa"/>
            <w:vMerge w:val="restart"/>
            <w:noWrap w:val="0"/>
            <w:vAlign w:val="center"/>
          </w:tcPr>
          <w:p w14:paraId="622653B6">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0FA148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  话</w:t>
            </w:r>
          </w:p>
        </w:tc>
        <w:tc>
          <w:tcPr>
            <w:tcW w:w="1562" w:type="dxa"/>
            <w:noWrap w:val="0"/>
            <w:vAlign w:val="top"/>
          </w:tcPr>
          <w:p w14:paraId="6FDF3F26">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F758CBA">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传    真</w:t>
            </w:r>
          </w:p>
        </w:tc>
        <w:tc>
          <w:tcPr>
            <w:tcW w:w="1570" w:type="dxa"/>
            <w:noWrap w:val="0"/>
            <w:vAlign w:val="top"/>
          </w:tcPr>
          <w:p w14:paraId="77380143">
            <w:pPr>
              <w:adjustRightInd w:val="0"/>
              <w:snapToGrid w:val="0"/>
              <w:spacing w:before="36" w:beforeLines="15"/>
              <w:jc w:val="center"/>
              <w:rPr>
                <w:rFonts w:hint="default" w:ascii="Times New Roman" w:hAnsi="Times New Roman" w:eastAsia="仿宋" w:cs="Times New Roman"/>
                <w:snapToGrid w:val="0"/>
                <w:sz w:val="28"/>
                <w:szCs w:val="28"/>
              </w:rPr>
            </w:pPr>
          </w:p>
        </w:tc>
      </w:tr>
      <w:tr w14:paraId="1D2E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vMerge w:val="continue"/>
            <w:noWrap w:val="0"/>
            <w:vAlign w:val="center"/>
          </w:tcPr>
          <w:p w14:paraId="00E132FC">
            <w:pPr>
              <w:adjustRightInd w:val="0"/>
              <w:snapToGrid w:val="0"/>
              <w:spacing w:before="36" w:beforeLines="15"/>
              <w:jc w:val="center"/>
              <w:rPr>
                <w:rFonts w:hint="default" w:ascii="Times New Roman" w:hAnsi="Times New Roman" w:eastAsia="仿宋" w:cs="Times New Roman"/>
                <w:snapToGrid w:val="0"/>
                <w:sz w:val="28"/>
                <w:szCs w:val="28"/>
              </w:rPr>
            </w:pPr>
          </w:p>
        </w:tc>
        <w:tc>
          <w:tcPr>
            <w:tcW w:w="1562" w:type="dxa"/>
            <w:vMerge w:val="continue"/>
            <w:noWrap w:val="0"/>
            <w:vAlign w:val="top"/>
          </w:tcPr>
          <w:p w14:paraId="25AC9B2F">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3EBBA5B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手  机</w:t>
            </w:r>
          </w:p>
        </w:tc>
        <w:tc>
          <w:tcPr>
            <w:tcW w:w="1562" w:type="dxa"/>
            <w:noWrap w:val="0"/>
            <w:vAlign w:val="top"/>
          </w:tcPr>
          <w:p w14:paraId="36B3044A">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47ED0D7F">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电子信箱</w:t>
            </w:r>
          </w:p>
        </w:tc>
        <w:tc>
          <w:tcPr>
            <w:tcW w:w="1570" w:type="dxa"/>
            <w:noWrap w:val="0"/>
            <w:vAlign w:val="top"/>
          </w:tcPr>
          <w:p w14:paraId="3A83C50C">
            <w:pPr>
              <w:adjustRightInd w:val="0"/>
              <w:snapToGrid w:val="0"/>
              <w:spacing w:before="36" w:beforeLines="15"/>
              <w:jc w:val="center"/>
              <w:rPr>
                <w:rFonts w:hint="default" w:ascii="Times New Roman" w:hAnsi="Times New Roman" w:eastAsia="仿宋" w:cs="Times New Roman"/>
                <w:snapToGrid w:val="0"/>
                <w:sz w:val="28"/>
                <w:szCs w:val="28"/>
              </w:rPr>
            </w:pPr>
          </w:p>
        </w:tc>
      </w:tr>
      <w:tr w14:paraId="63FB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2CF00A7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安全监管</w:t>
            </w:r>
          </w:p>
          <w:p w14:paraId="3A37C0F1">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w:t>
            </w:r>
          </w:p>
        </w:tc>
        <w:tc>
          <w:tcPr>
            <w:tcW w:w="2983" w:type="dxa"/>
            <w:gridSpan w:val="2"/>
            <w:noWrap w:val="0"/>
            <w:vAlign w:val="top"/>
          </w:tcPr>
          <w:p w14:paraId="5B5EE518">
            <w:pPr>
              <w:adjustRightInd w:val="0"/>
              <w:snapToGrid w:val="0"/>
              <w:spacing w:before="36" w:beforeLines="15"/>
              <w:jc w:val="center"/>
              <w:rPr>
                <w:rFonts w:hint="default" w:ascii="Times New Roman" w:hAnsi="Times New Roman" w:eastAsia="仿宋" w:cs="Times New Roman"/>
                <w:snapToGrid w:val="0"/>
                <w:sz w:val="28"/>
                <w:szCs w:val="28"/>
              </w:rPr>
            </w:pPr>
          </w:p>
        </w:tc>
        <w:tc>
          <w:tcPr>
            <w:tcW w:w="1562" w:type="dxa"/>
            <w:noWrap w:val="0"/>
            <w:vAlign w:val="top"/>
          </w:tcPr>
          <w:p w14:paraId="45A8693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责任人及职务</w:t>
            </w:r>
          </w:p>
        </w:tc>
        <w:tc>
          <w:tcPr>
            <w:tcW w:w="2991" w:type="dxa"/>
            <w:gridSpan w:val="2"/>
            <w:noWrap w:val="0"/>
            <w:vAlign w:val="center"/>
          </w:tcPr>
          <w:p w14:paraId="3D955366">
            <w:pPr>
              <w:adjustRightInd w:val="0"/>
              <w:snapToGrid w:val="0"/>
              <w:spacing w:before="36" w:beforeLines="15"/>
              <w:jc w:val="center"/>
              <w:rPr>
                <w:rFonts w:hint="default" w:ascii="Times New Roman" w:hAnsi="Times New Roman" w:eastAsia="仿宋" w:cs="Times New Roman"/>
                <w:snapToGrid w:val="0"/>
                <w:sz w:val="28"/>
                <w:szCs w:val="28"/>
              </w:rPr>
            </w:pPr>
          </w:p>
        </w:tc>
      </w:tr>
      <w:tr w14:paraId="444F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2EFB4A9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装机容量</w:t>
            </w:r>
          </w:p>
        </w:tc>
        <w:tc>
          <w:tcPr>
            <w:tcW w:w="2983" w:type="dxa"/>
            <w:gridSpan w:val="2"/>
            <w:noWrap w:val="0"/>
            <w:vAlign w:val="center"/>
          </w:tcPr>
          <w:p w14:paraId="70302A28">
            <w:pPr>
              <w:adjustRightInd w:val="0"/>
              <w:snapToGrid w:val="0"/>
              <w:spacing w:before="36" w:beforeLines="15"/>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kW/台数</w:t>
            </w:r>
          </w:p>
        </w:tc>
        <w:tc>
          <w:tcPr>
            <w:tcW w:w="1562" w:type="dxa"/>
            <w:noWrap w:val="0"/>
            <w:vAlign w:val="top"/>
          </w:tcPr>
          <w:p w14:paraId="66B5531C">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设计年发电量</w:t>
            </w:r>
          </w:p>
        </w:tc>
        <w:tc>
          <w:tcPr>
            <w:tcW w:w="2991" w:type="dxa"/>
            <w:gridSpan w:val="2"/>
            <w:noWrap w:val="0"/>
            <w:vAlign w:val="center"/>
          </w:tcPr>
          <w:p w14:paraId="77B8234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 xml:space="preserve">           万kW</w:t>
            </w:r>
            <w:r>
              <w:rPr>
                <w:rFonts w:hint="default" w:ascii="Times New Roman" w:hAnsi="Times New Roman" w:eastAsia="仿宋" w:cs="Times New Roman"/>
                <w:snapToGrid w:val="0"/>
                <w:sz w:val="21"/>
                <w:szCs w:val="21"/>
              </w:rPr>
              <w:t>·</w:t>
            </w:r>
            <w:r>
              <w:rPr>
                <w:rFonts w:hint="default" w:ascii="Times New Roman" w:hAnsi="Times New Roman" w:eastAsia="仿宋" w:cs="Times New Roman"/>
                <w:snapToGrid w:val="0"/>
                <w:sz w:val="28"/>
                <w:szCs w:val="28"/>
              </w:rPr>
              <w:t>h</w:t>
            </w:r>
          </w:p>
        </w:tc>
      </w:tr>
      <w:tr w14:paraId="2631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31C49246">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坝型、坝高</w:t>
            </w:r>
          </w:p>
        </w:tc>
        <w:tc>
          <w:tcPr>
            <w:tcW w:w="2983" w:type="dxa"/>
            <w:gridSpan w:val="2"/>
            <w:noWrap w:val="0"/>
            <w:vAlign w:val="center"/>
          </w:tcPr>
          <w:p w14:paraId="52B9C5FD">
            <w:pPr>
              <w:adjustRightInd w:val="0"/>
              <w:snapToGrid w:val="0"/>
              <w:spacing w:before="36" w:beforeLines="15"/>
              <w:ind w:right="14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m</w:t>
            </w:r>
          </w:p>
        </w:tc>
        <w:tc>
          <w:tcPr>
            <w:tcW w:w="1562" w:type="dxa"/>
            <w:noWrap w:val="0"/>
            <w:vAlign w:val="top"/>
          </w:tcPr>
          <w:p w14:paraId="533E7027">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总库容</w:t>
            </w:r>
          </w:p>
        </w:tc>
        <w:tc>
          <w:tcPr>
            <w:tcW w:w="2991" w:type="dxa"/>
            <w:gridSpan w:val="2"/>
            <w:noWrap w:val="0"/>
            <w:vAlign w:val="center"/>
          </w:tcPr>
          <w:p w14:paraId="68E1404D">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 xml:space="preserve">             万m</w:t>
            </w:r>
            <w:r>
              <w:rPr>
                <w:rFonts w:hint="default" w:ascii="Times New Roman" w:hAnsi="Times New Roman" w:eastAsia="仿宋" w:cs="Times New Roman"/>
                <w:snapToGrid w:val="0"/>
                <w:sz w:val="28"/>
                <w:szCs w:val="28"/>
                <w:vertAlign w:val="superscript"/>
              </w:rPr>
              <w:t>3</w:t>
            </w:r>
          </w:p>
        </w:tc>
      </w:tr>
      <w:tr w14:paraId="6828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770" w:type="dxa"/>
            <w:noWrap w:val="0"/>
            <w:vAlign w:val="center"/>
          </w:tcPr>
          <w:p w14:paraId="737ABB5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开发方式</w:t>
            </w:r>
          </w:p>
        </w:tc>
        <w:tc>
          <w:tcPr>
            <w:tcW w:w="7536" w:type="dxa"/>
            <w:gridSpan w:val="5"/>
            <w:noWrap w:val="0"/>
            <w:vAlign w:val="center"/>
          </w:tcPr>
          <w:p w14:paraId="4C644402">
            <w:pPr>
              <w:adjustRightInd w:val="0"/>
              <w:snapToGrid w:val="0"/>
              <w:spacing w:before="36" w:beforeLines="15"/>
              <w:ind w:firstLine="280" w:firstLineChars="10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□坝式        □引水式</w:t>
            </w:r>
          </w:p>
        </w:tc>
      </w:tr>
      <w:tr w14:paraId="754A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770" w:type="dxa"/>
            <w:noWrap w:val="0"/>
            <w:vAlign w:val="center"/>
          </w:tcPr>
          <w:p w14:paraId="4AE8B6DC">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本次申请</w:t>
            </w:r>
          </w:p>
        </w:tc>
        <w:tc>
          <w:tcPr>
            <w:tcW w:w="7536" w:type="dxa"/>
            <w:gridSpan w:val="5"/>
            <w:noWrap w:val="0"/>
            <w:vAlign w:val="center"/>
          </w:tcPr>
          <w:p w14:paraId="17C9588F">
            <w:pPr>
              <w:adjustRightInd w:val="0"/>
              <w:snapToGrid w:val="0"/>
              <w:ind w:firstLine="280" w:firstLineChars="10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□初次评审    □复评</w:t>
            </w:r>
          </w:p>
        </w:tc>
      </w:tr>
      <w:tr w14:paraId="086C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306" w:type="dxa"/>
            <w:gridSpan w:val="6"/>
            <w:noWrap w:val="0"/>
            <w:vAlign w:val="center"/>
          </w:tcPr>
          <w:p w14:paraId="5606BFB1">
            <w:pPr>
              <w:adjustRightInd w:val="0"/>
              <w:snapToGrid w:val="0"/>
              <w:spacing w:before="24" w:beforeLines="10" w:after="24" w:after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单位自主评定得分：</w:t>
            </w:r>
          </w:p>
        </w:tc>
      </w:tr>
      <w:tr w14:paraId="26FD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jc w:val="center"/>
        </w:trPr>
        <w:tc>
          <w:tcPr>
            <w:tcW w:w="9306" w:type="dxa"/>
            <w:gridSpan w:val="6"/>
            <w:noWrap w:val="0"/>
            <w:vAlign w:val="top"/>
          </w:tcPr>
          <w:p w14:paraId="63D39743">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单位自主评定结论：</w:t>
            </w:r>
          </w:p>
          <w:p w14:paraId="289FF5A9">
            <w:pPr>
              <w:adjustRightInd w:val="0"/>
              <w:snapToGrid w:val="0"/>
              <w:rPr>
                <w:rFonts w:hint="default" w:ascii="Times New Roman" w:hAnsi="Times New Roman" w:eastAsia="仿宋" w:cs="Times New Roman"/>
                <w:snapToGrid w:val="0"/>
                <w:sz w:val="28"/>
                <w:szCs w:val="28"/>
              </w:rPr>
            </w:pPr>
          </w:p>
          <w:p w14:paraId="4F5F020F">
            <w:pPr>
              <w:adjustRightInd w:val="0"/>
              <w:snapToGrid w:val="0"/>
              <w:rPr>
                <w:rFonts w:hint="default" w:ascii="Times New Roman" w:hAnsi="Times New Roman" w:eastAsia="仿宋" w:cs="Times New Roman"/>
                <w:snapToGrid w:val="0"/>
                <w:sz w:val="28"/>
                <w:szCs w:val="28"/>
              </w:rPr>
            </w:pPr>
          </w:p>
          <w:p w14:paraId="5F564431">
            <w:pPr>
              <w:adjustRightInd w:val="0"/>
              <w:snapToGrid w:val="0"/>
              <w:rPr>
                <w:rFonts w:hint="default" w:ascii="Times New Roman" w:hAnsi="Times New Roman" w:eastAsia="仿宋" w:cs="Times New Roman"/>
                <w:snapToGrid w:val="0"/>
                <w:sz w:val="28"/>
                <w:szCs w:val="28"/>
              </w:rPr>
            </w:pPr>
          </w:p>
          <w:p w14:paraId="558592F1">
            <w:pPr>
              <w:adjustRightInd w:val="0"/>
              <w:snapToGrid w:val="0"/>
              <w:rPr>
                <w:rFonts w:hint="default" w:ascii="Times New Roman" w:hAnsi="Times New Roman" w:eastAsia="仿宋" w:cs="Times New Roman"/>
                <w:snapToGrid w:val="0"/>
                <w:sz w:val="28"/>
                <w:szCs w:val="28"/>
              </w:rPr>
            </w:pPr>
          </w:p>
          <w:p w14:paraId="6F30ED0F">
            <w:pPr>
              <w:adjustRightInd w:val="0"/>
              <w:snapToGrid w:val="0"/>
              <w:rPr>
                <w:rFonts w:hint="default" w:ascii="Times New Roman" w:hAnsi="Times New Roman" w:eastAsia="仿宋" w:cs="Times New Roman"/>
                <w:snapToGrid w:val="0"/>
                <w:sz w:val="28"/>
                <w:szCs w:val="28"/>
              </w:rPr>
            </w:pPr>
          </w:p>
          <w:p w14:paraId="31092216">
            <w:pPr>
              <w:adjustRightInd w:val="0"/>
              <w:snapToGrid w:val="0"/>
              <w:rPr>
                <w:rFonts w:hint="default" w:ascii="Times New Roman" w:hAnsi="Times New Roman" w:eastAsia="仿宋" w:cs="Times New Roman"/>
                <w:snapToGrid w:val="0"/>
                <w:sz w:val="28"/>
                <w:szCs w:val="28"/>
              </w:rPr>
            </w:pPr>
          </w:p>
          <w:p w14:paraId="4C11B152">
            <w:pPr>
              <w:adjustRightInd w:val="0"/>
              <w:snapToGrid w:val="0"/>
              <w:rPr>
                <w:rFonts w:hint="default" w:ascii="Times New Roman" w:hAnsi="Times New Roman" w:eastAsia="仿宋" w:cs="Times New Roman"/>
                <w:snapToGrid w:val="0"/>
                <w:sz w:val="28"/>
                <w:szCs w:val="28"/>
              </w:rPr>
            </w:pPr>
          </w:p>
          <w:p w14:paraId="68DDC54E">
            <w:pPr>
              <w:adjustRightInd w:val="0"/>
              <w:snapToGrid w:val="0"/>
              <w:rPr>
                <w:rFonts w:hint="default" w:ascii="Times New Roman" w:hAnsi="Times New Roman" w:eastAsia="仿宋" w:cs="Times New Roman"/>
                <w:snapToGrid w:val="0"/>
                <w:sz w:val="28"/>
                <w:szCs w:val="28"/>
              </w:rPr>
            </w:pPr>
          </w:p>
          <w:p w14:paraId="69E6DA46">
            <w:pPr>
              <w:adjustRightInd w:val="0"/>
              <w:snapToGrid w:val="0"/>
              <w:rPr>
                <w:rFonts w:hint="default" w:ascii="Times New Roman" w:hAnsi="Times New Roman" w:eastAsia="仿宋" w:cs="Times New Roman"/>
                <w:snapToGrid w:val="0"/>
                <w:sz w:val="28"/>
                <w:szCs w:val="28"/>
              </w:rPr>
            </w:pPr>
          </w:p>
          <w:p w14:paraId="0384F295">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法定代表人(签名)：                     （申请单位印章）</w:t>
            </w:r>
          </w:p>
          <w:p w14:paraId="7022A8E6">
            <w:pPr>
              <w:adjustRightInd w:val="0"/>
              <w:snapToGrid w:val="0"/>
              <w:spacing w:before="24" w:beforeLines="10"/>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3DCD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jc w:val="center"/>
        </w:trPr>
        <w:tc>
          <w:tcPr>
            <w:tcW w:w="9306" w:type="dxa"/>
            <w:gridSpan w:val="6"/>
            <w:noWrap w:val="0"/>
            <w:vAlign w:val="top"/>
          </w:tcPr>
          <w:p w14:paraId="48B0F6E0">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上级主管单位意见：</w:t>
            </w:r>
          </w:p>
          <w:p w14:paraId="7ABE81D9">
            <w:pPr>
              <w:adjustRightInd w:val="0"/>
              <w:snapToGrid w:val="0"/>
              <w:spacing w:before="24" w:beforeLines="10"/>
              <w:rPr>
                <w:rFonts w:hint="default" w:ascii="Times New Roman" w:hAnsi="Times New Roman" w:eastAsia="仿宋" w:cs="Times New Roman"/>
                <w:snapToGrid w:val="0"/>
                <w:sz w:val="28"/>
                <w:szCs w:val="28"/>
              </w:rPr>
            </w:pPr>
          </w:p>
          <w:p w14:paraId="0E440053">
            <w:pPr>
              <w:adjustRightInd w:val="0"/>
              <w:snapToGrid w:val="0"/>
              <w:spacing w:before="24" w:beforeLines="10"/>
              <w:rPr>
                <w:rFonts w:hint="default" w:ascii="Times New Roman" w:hAnsi="Times New Roman" w:eastAsia="仿宋" w:cs="Times New Roman"/>
                <w:snapToGrid w:val="0"/>
                <w:sz w:val="28"/>
                <w:szCs w:val="28"/>
              </w:rPr>
            </w:pPr>
          </w:p>
          <w:p w14:paraId="4762AFDA">
            <w:pPr>
              <w:adjustRightInd w:val="0"/>
              <w:snapToGrid w:val="0"/>
              <w:spacing w:before="24" w:beforeLines="10"/>
              <w:rPr>
                <w:rFonts w:hint="default" w:ascii="Times New Roman" w:hAnsi="Times New Roman" w:eastAsia="仿宋" w:cs="Times New Roman"/>
                <w:snapToGrid w:val="0"/>
                <w:sz w:val="28"/>
                <w:szCs w:val="28"/>
              </w:rPr>
            </w:pPr>
          </w:p>
          <w:p w14:paraId="1FEE09A9">
            <w:pPr>
              <w:adjustRightInd w:val="0"/>
              <w:snapToGrid w:val="0"/>
              <w:spacing w:before="24" w:beforeLines="10"/>
              <w:rPr>
                <w:rFonts w:hint="default" w:ascii="Times New Roman" w:hAnsi="Times New Roman" w:eastAsia="仿宋" w:cs="Times New Roman"/>
                <w:snapToGrid w:val="0"/>
                <w:sz w:val="28"/>
                <w:szCs w:val="28"/>
              </w:rPr>
            </w:pPr>
          </w:p>
          <w:p w14:paraId="5E87EB58">
            <w:pPr>
              <w:adjustRightInd w:val="0"/>
              <w:snapToGrid w:val="0"/>
              <w:spacing w:before="24" w:beforeLines="10"/>
              <w:rPr>
                <w:rFonts w:hint="default" w:ascii="Times New Roman" w:hAnsi="Times New Roman" w:eastAsia="仿宋" w:cs="Times New Roman"/>
                <w:snapToGrid w:val="0"/>
                <w:sz w:val="28"/>
                <w:szCs w:val="28"/>
              </w:rPr>
            </w:pPr>
          </w:p>
          <w:p w14:paraId="0C4CDCD3">
            <w:pPr>
              <w:adjustRightInd w:val="0"/>
              <w:snapToGrid w:val="0"/>
              <w:spacing w:before="24" w:beforeLines="10"/>
              <w:rPr>
                <w:rFonts w:hint="default" w:ascii="Times New Roman" w:hAnsi="Times New Roman" w:eastAsia="仿宋" w:cs="Times New Roman"/>
                <w:snapToGrid w:val="0"/>
                <w:sz w:val="28"/>
                <w:szCs w:val="28"/>
              </w:rPr>
            </w:pPr>
          </w:p>
          <w:p w14:paraId="1CD353F6">
            <w:pPr>
              <w:adjustRightInd w:val="0"/>
              <w:snapToGrid w:val="0"/>
              <w:ind w:right="1113" w:rightChars="530"/>
              <w:rPr>
                <w:rFonts w:hint="default" w:ascii="Times New Roman" w:hAnsi="Times New Roman" w:eastAsia="仿宋" w:cs="Times New Roman"/>
                <w:snapToGrid w:val="0"/>
                <w:sz w:val="28"/>
                <w:szCs w:val="28"/>
              </w:rPr>
            </w:pPr>
          </w:p>
          <w:p w14:paraId="534BE8FD">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（主管单位印章）</w:t>
            </w:r>
          </w:p>
          <w:p w14:paraId="007E793B">
            <w:pPr>
              <w:adjustRightInd w:val="0"/>
              <w:snapToGrid w:val="0"/>
              <w:spacing w:before="24" w:beforeLines="10"/>
              <w:ind w:firstLine="6300" w:firstLineChars="225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064E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jc w:val="center"/>
        </w:trPr>
        <w:tc>
          <w:tcPr>
            <w:tcW w:w="9306" w:type="dxa"/>
            <w:gridSpan w:val="6"/>
            <w:noWrap w:val="0"/>
            <w:vAlign w:val="top"/>
          </w:tcPr>
          <w:p w14:paraId="400C30A5">
            <w:pPr>
              <w:adjustRightInd w:val="0"/>
              <w:snapToGrid w:val="0"/>
              <w:spacing w:before="24" w:beforeLines="10"/>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州（地、市）水行政主管部门</w:t>
            </w:r>
            <w:r>
              <w:rPr>
                <w:rFonts w:hint="default" w:ascii="Times New Roman" w:hAnsi="Times New Roman" w:eastAsia="仿宋" w:cs="Times New Roman"/>
                <w:snapToGrid w:val="0"/>
                <w:sz w:val="28"/>
                <w:szCs w:val="28"/>
                <w:lang w:eastAsia="zh-CN"/>
              </w:rPr>
              <w:t>（</w:t>
            </w:r>
            <w:r>
              <w:rPr>
                <w:rFonts w:hint="default" w:ascii="Times New Roman" w:hAnsi="Times New Roman" w:eastAsia="仿宋" w:cs="Times New Roman"/>
                <w:snapToGrid w:val="0"/>
                <w:sz w:val="28"/>
                <w:szCs w:val="28"/>
                <w:lang w:val="en-US" w:eastAsia="zh-CN"/>
              </w:rPr>
              <w:t>或流域管理机构</w:t>
            </w:r>
            <w:r>
              <w:rPr>
                <w:rFonts w:hint="default" w:ascii="Times New Roman" w:hAnsi="Times New Roman" w:eastAsia="仿宋" w:cs="Times New Roman"/>
                <w:snapToGrid w:val="0"/>
                <w:sz w:val="28"/>
                <w:szCs w:val="28"/>
                <w:lang w:eastAsia="zh-CN"/>
              </w:rPr>
              <w:t>）</w:t>
            </w:r>
            <w:r>
              <w:rPr>
                <w:rFonts w:hint="default" w:ascii="Times New Roman" w:hAnsi="Times New Roman" w:eastAsia="仿宋" w:cs="Times New Roman"/>
                <w:snapToGrid w:val="0"/>
                <w:sz w:val="28"/>
                <w:szCs w:val="28"/>
              </w:rPr>
              <w:t>意见：</w:t>
            </w:r>
          </w:p>
          <w:p w14:paraId="3B0B8D44">
            <w:pPr>
              <w:adjustRightInd w:val="0"/>
              <w:snapToGrid w:val="0"/>
              <w:ind w:right="1113" w:rightChars="530"/>
              <w:rPr>
                <w:rFonts w:hint="default" w:ascii="Times New Roman" w:hAnsi="Times New Roman" w:eastAsia="仿宋" w:cs="Times New Roman"/>
                <w:snapToGrid w:val="0"/>
                <w:sz w:val="28"/>
                <w:szCs w:val="28"/>
              </w:rPr>
            </w:pPr>
          </w:p>
          <w:p w14:paraId="7DC94ACF">
            <w:pPr>
              <w:adjustRightInd w:val="0"/>
              <w:snapToGrid w:val="0"/>
              <w:ind w:right="1113" w:rightChars="530"/>
              <w:rPr>
                <w:rFonts w:hint="default" w:ascii="Times New Roman" w:hAnsi="Times New Roman" w:eastAsia="仿宋" w:cs="Times New Roman"/>
                <w:snapToGrid w:val="0"/>
                <w:sz w:val="28"/>
                <w:szCs w:val="28"/>
              </w:rPr>
            </w:pPr>
          </w:p>
          <w:p w14:paraId="1BF1219C">
            <w:pPr>
              <w:adjustRightInd w:val="0"/>
              <w:snapToGrid w:val="0"/>
              <w:ind w:right="1113" w:rightChars="530"/>
              <w:rPr>
                <w:rFonts w:hint="default" w:ascii="Times New Roman" w:hAnsi="Times New Roman" w:eastAsia="仿宋" w:cs="Times New Roman"/>
                <w:snapToGrid w:val="0"/>
                <w:sz w:val="28"/>
                <w:szCs w:val="28"/>
              </w:rPr>
            </w:pPr>
          </w:p>
          <w:p w14:paraId="6AC7F09A">
            <w:pPr>
              <w:adjustRightInd w:val="0"/>
              <w:snapToGrid w:val="0"/>
              <w:ind w:right="1113" w:rightChars="530"/>
              <w:rPr>
                <w:rFonts w:hint="default" w:ascii="Times New Roman" w:hAnsi="Times New Roman" w:eastAsia="仿宋" w:cs="Times New Roman"/>
                <w:snapToGrid w:val="0"/>
                <w:sz w:val="28"/>
                <w:szCs w:val="28"/>
              </w:rPr>
            </w:pPr>
          </w:p>
          <w:p w14:paraId="7045B67C">
            <w:pPr>
              <w:adjustRightInd w:val="0"/>
              <w:snapToGrid w:val="0"/>
              <w:ind w:right="1113" w:rightChars="530"/>
              <w:rPr>
                <w:rFonts w:hint="default" w:ascii="Times New Roman" w:hAnsi="Times New Roman" w:eastAsia="仿宋" w:cs="Times New Roman"/>
                <w:snapToGrid w:val="0"/>
                <w:sz w:val="28"/>
                <w:szCs w:val="28"/>
              </w:rPr>
            </w:pPr>
          </w:p>
          <w:p w14:paraId="5EDCFC89">
            <w:pPr>
              <w:adjustRightInd w:val="0"/>
              <w:snapToGrid w:val="0"/>
              <w:ind w:right="1113" w:rightChars="530"/>
              <w:rPr>
                <w:rFonts w:hint="default" w:ascii="Times New Roman" w:hAnsi="Times New Roman" w:eastAsia="仿宋" w:cs="Times New Roman"/>
                <w:snapToGrid w:val="0"/>
                <w:sz w:val="28"/>
                <w:szCs w:val="28"/>
              </w:rPr>
            </w:pPr>
          </w:p>
          <w:p w14:paraId="2C7343B4">
            <w:pPr>
              <w:adjustRightInd w:val="0"/>
              <w:snapToGrid w:val="0"/>
              <w:ind w:right="1113" w:rightChars="530"/>
              <w:rPr>
                <w:rFonts w:hint="default" w:ascii="Times New Roman" w:hAnsi="Times New Roman" w:eastAsia="仿宋" w:cs="Times New Roman"/>
                <w:snapToGrid w:val="0"/>
                <w:sz w:val="28"/>
                <w:szCs w:val="28"/>
              </w:rPr>
            </w:pPr>
          </w:p>
          <w:p w14:paraId="29277D4F">
            <w:pPr>
              <w:adjustRightInd w:val="0"/>
              <w:snapToGrid w:val="0"/>
              <w:spacing w:before="120" w:beforeLines="50" w:after="120" w:afterLines="50" w:line="240" w:lineRule="auto"/>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（单位印章）</w:t>
            </w:r>
          </w:p>
          <w:p w14:paraId="5DAFE389">
            <w:pPr>
              <w:adjustRightInd w:val="0"/>
              <w:snapToGrid w:val="0"/>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6510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0" w:hRule="atLeast"/>
          <w:jc w:val="center"/>
        </w:trPr>
        <w:tc>
          <w:tcPr>
            <w:tcW w:w="9306" w:type="dxa"/>
            <w:gridSpan w:val="6"/>
            <w:noWrap w:val="0"/>
            <w:vAlign w:val="top"/>
          </w:tcPr>
          <w:p w14:paraId="0A16C1D8">
            <w:pPr>
              <w:adjustRightInd w:val="0"/>
              <w:snapToGrid w:val="0"/>
              <w:spacing w:before="24" w:beforeLines="10"/>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自治区水利厅审核意见：</w:t>
            </w:r>
          </w:p>
          <w:p w14:paraId="0E1244B9">
            <w:pPr>
              <w:adjustRightInd w:val="0"/>
              <w:snapToGrid w:val="0"/>
              <w:ind w:right="1113" w:rightChars="530"/>
              <w:rPr>
                <w:rFonts w:hint="default" w:ascii="Times New Roman" w:hAnsi="Times New Roman" w:eastAsia="仿宋" w:cs="Times New Roman"/>
                <w:snapToGrid w:val="0"/>
                <w:sz w:val="28"/>
                <w:szCs w:val="28"/>
              </w:rPr>
            </w:pPr>
          </w:p>
          <w:p w14:paraId="0B0F3D51">
            <w:pPr>
              <w:adjustRightInd w:val="0"/>
              <w:snapToGrid w:val="0"/>
              <w:ind w:right="1113" w:rightChars="530"/>
              <w:rPr>
                <w:rFonts w:hint="default" w:ascii="Times New Roman" w:hAnsi="Times New Roman" w:eastAsia="仿宋" w:cs="Times New Roman"/>
                <w:snapToGrid w:val="0"/>
                <w:sz w:val="28"/>
                <w:szCs w:val="28"/>
              </w:rPr>
            </w:pPr>
          </w:p>
          <w:p w14:paraId="0397C093">
            <w:pPr>
              <w:adjustRightInd w:val="0"/>
              <w:snapToGrid w:val="0"/>
              <w:ind w:right="1113" w:rightChars="530"/>
              <w:rPr>
                <w:rFonts w:hint="default" w:ascii="Times New Roman" w:hAnsi="Times New Roman" w:eastAsia="仿宋" w:cs="Times New Roman"/>
                <w:snapToGrid w:val="0"/>
                <w:sz w:val="28"/>
                <w:szCs w:val="28"/>
              </w:rPr>
            </w:pPr>
          </w:p>
          <w:p w14:paraId="06623FD2">
            <w:pPr>
              <w:adjustRightInd w:val="0"/>
              <w:snapToGrid w:val="0"/>
              <w:ind w:right="1113" w:rightChars="530"/>
              <w:rPr>
                <w:rFonts w:hint="default" w:ascii="Times New Roman" w:hAnsi="Times New Roman" w:eastAsia="仿宋" w:cs="Times New Roman"/>
                <w:snapToGrid w:val="0"/>
                <w:sz w:val="28"/>
                <w:szCs w:val="28"/>
              </w:rPr>
            </w:pPr>
          </w:p>
          <w:p w14:paraId="781BB902">
            <w:pPr>
              <w:adjustRightInd w:val="0"/>
              <w:snapToGrid w:val="0"/>
              <w:ind w:right="1113" w:rightChars="530"/>
              <w:rPr>
                <w:rFonts w:hint="default" w:ascii="Times New Roman" w:hAnsi="Times New Roman" w:eastAsia="仿宋" w:cs="Times New Roman"/>
                <w:snapToGrid w:val="0"/>
                <w:sz w:val="28"/>
                <w:szCs w:val="28"/>
              </w:rPr>
            </w:pPr>
          </w:p>
          <w:p w14:paraId="032D2371">
            <w:pPr>
              <w:adjustRightInd w:val="0"/>
              <w:snapToGrid w:val="0"/>
              <w:ind w:right="1113" w:rightChars="530"/>
              <w:rPr>
                <w:rFonts w:hint="default" w:ascii="Times New Roman" w:hAnsi="Times New Roman" w:eastAsia="仿宋" w:cs="Times New Roman"/>
                <w:snapToGrid w:val="0"/>
                <w:sz w:val="28"/>
                <w:szCs w:val="28"/>
              </w:rPr>
            </w:pPr>
          </w:p>
          <w:p w14:paraId="3433A606">
            <w:pPr>
              <w:adjustRightInd w:val="0"/>
              <w:snapToGrid w:val="0"/>
              <w:ind w:right="1113" w:rightChars="530"/>
              <w:rPr>
                <w:rFonts w:hint="default" w:ascii="Times New Roman" w:hAnsi="Times New Roman" w:eastAsia="仿宋" w:cs="Times New Roman"/>
                <w:snapToGrid w:val="0"/>
                <w:sz w:val="28"/>
                <w:szCs w:val="28"/>
              </w:rPr>
            </w:pPr>
          </w:p>
          <w:p w14:paraId="6B6B1E4B">
            <w:pPr>
              <w:adjustRightInd w:val="0"/>
              <w:snapToGrid w:val="0"/>
              <w:ind w:right="1113" w:rightChars="530"/>
              <w:rPr>
                <w:rFonts w:hint="default" w:ascii="Times New Roman" w:hAnsi="Times New Roman" w:eastAsia="仿宋" w:cs="Times New Roman"/>
                <w:snapToGrid w:val="0"/>
                <w:sz w:val="28"/>
                <w:szCs w:val="28"/>
              </w:rPr>
            </w:pPr>
          </w:p>
          <w:p w14:paraId="723C4966">
            <w:pPr>
              <w:adjustRightInd w:val="0"/>
              <w:snapToGrid w:val="0"/>
              <w:ind w:right="1113" w:rightChars="530"/>
              <w:rPr>
                <w:rFonts w:hint="default" w:ascii="Times New Roman" w:hAnsi="Times New Roman" w:eastAsia="仿宋" w:cs="Times New Roman"/>
                <w:snapToGrid w:val="0"/>
                <w:sz w:val="28"/>
                <w:szCs w:val="28"/>
              </w:rPr>
            </w:pPr>
          </w:p>
          <w:p w14:paraId="2E1DA4D0">
            <w:pPr>
              <w:adjustRightInd w:val="0"/>
              <w:snapToGrid w:val="0"/>
              <w:spacing w:before="120" w:beforeLines="50" w:after="120" w:afterLines="50" w:line="240" w:lineRule="auto"/>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（单位印章）</w:t>
            </w:r>
          </w:p>
          <w:p w14:paraId="1749E879">
            <w:pPr>
              <w:adjustRightInd w:val="0"/>
              <w:snapToGrid w:val="0"/>
              <w:spacing w:before="120" w:beforeLines="50" w:after="120" w:afterLines="50" w:line="240" w:lineRule="auto"/>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bl>
    <w:p w14:paraId="0F27724D">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p>
    <w:p w14:paraId="43B6EE95">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p>
    <w:p w14:paraId="0006F2B3">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附录B</w:t>
      </w:r>
    </w:p>
    <w:p w14:paraId="5506AF4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val="en-US" w:eastAsia="zh-CN"/>
        </w:rPr>
        <w:t>小型</w:t>
      </w:r>
      <w:r>
        <w:rPr>
          <w:rFonts w:hint="default" w:ascii="Times New Roman" w:hAnsi="Times New Roman" w:eastAsia="方正小标宋_GBK" w:cs="Times New Roman"/>
          <w:kern w:val="0"/>
          <w:sz w:val="44"/>
          <w:szCs w:val="44"/>
        </w:rPr>
        <w:t>水电站安全生产标准化</w:t>
      </w:r>
      <w:r>
        <w:rPr>
          <w:rFonts w:hint="default" w:ascii="Times New Roman" w:hAnsi="Times New Roman" w:eastAsia="方正小标宋_GBK" w:cs="Times New Roman"/>
          <w:kern w:val="0"/>
          <w:sz w:val="44"/>
          <w:szCs w:val="44"/>
          <w:lang w:val="en-US" w:eastAsia="zh-CN"/>
        </w:rPr>
        <w:t>申报</w:t>
      </w:r>
      <w:r>
        <w:rPr>
          <w:rFonts w:hint="default" w:ascii="Times New Roman" w:hAnsi="Times New Roman" w:eastAsia="方正小标宋_GBK" w:cs="Times New Roman"/>
          <w:kern w:val="0"/>
          <w:sz w:val="44"/>
          <w:szCs w:val="44"/>
        </w:rPr>
        <w:t>自评报告</w:t>
      </w:r>
    </w:p>
    <w:p w14:paraId="016E865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（格式）</w:t>
      </w:r>
    </w:p>
    <w:p w14:paraId="3BBE1F9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p>
    <w:p w14:paraId="68CF478E">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z w:val="32"/>
          <w:szCs w:val="32"/>
        </w:rPr>
        <w:t>《自评报告》</w:t>
      </w:r>
      <w:r>
        <w:rPr>
          <w:rFonts w:hint="default" w:ascii="Times New Roman" w:hAnsi="Times New Roman" w:eastAsia="仿宋_GB2312" w:cs="Times New Roman"/>
          <w:spacing w:val="-2"/>
          <w:sz w:val="32"/>
          <w:szCs w:val="32"/>
        </w:rPr>
        <w:t>内容包括：单位概况，安全生产管理状况，基本条件的符合情况，自主评定工作开展情况，自评打分表，发现的主要问题、整改计划和措施、整改完成情况，自主评定结果及自评有关支持性文件等。</w:t>
      </w:r>
    </w:p>
    <w:p w14:paraId="5BFA6DA5">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一、封面及编写目录</w:t>
      </w:r>
    </w:p>
    <w:p w14:paraId="2D8AD8A4">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《自评报告》封面格式如表1所示。</w:t>
      </w:r>
    </w:p>
    <w:p w14:paraId="17D2762F">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jc w:val="center"/>
        <w:textAlignment w:val="baseline"/>
        <w:rPr>
          <w:rFonts w:hint="default" w:ascii="Times New Roman" w:hAnsi="Times New Roman" w:cs="Times New Roman"/>
          <w:sz w:val="32"/>
          <w:szCs w:val="32"/>
        </w:rPr>
      </w:pPr>
      <w:r>
        <w:rPr>
          <w:rFonts w:hint="default" w:ascii="Times New Roman" w:hAnsi="Times New Roman" w:cs="Times New Roman"/>
          <w:snapToGrid w:val="0"/>
          <w:sz w:val="32"/>
          <w:szCs w:val="32"/>
        </w:rPr>
        <w:t xml:space="preserve">表1  </w:t>
      </w:r>
      <w:r>
        <w:rPr>
          <w:rFonts w:hint="default" w:ascii="Times New Roman" w:hAnsi="Times New Roman" w:cs="Times New Roman"/>
          <w:sz w:val="32"/>
          <w:szCs w:val="32"/>
          <w:lang w:val="en-US" w:eastAsia="zh-CN"/>
        </w:rPr>
        <w:t>小型</w:t>
      </w:r>
      <w:r>
        <w:rPr>
          <w:rFonts w:hint="default" w:ascii="Times New Roman" w:hAnsi="Times New Roman" w:cs="Times New Roman"/>
          <w:sz w:val="32"/>
          <w:szCs w:val="32"/>
        </w:rPr>
        <w:t>水电站安全生产标准化自评报告</w:t>
      </w:r>
      <w:r>
        <w:rPr>
          <w:rFonts w:hint="default" w:ascii="Times New Roman" w:hAnsi="Times New Roman" w:cs="Times New Roman"/>
          <w:snapToGrid w:val="0"/>
          <w:sz w:val="32"/>
          <w:szCs w:val="32"/>
        </w:rPr>
        <w:t>封面</w:t>
      </w:r>
    </w:p>
    <w:tbl>
      <w:tblPr>
        <w:tblStyle w:val="9"/>
        <w:tblW w:w="90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3B962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74" w:hRule="atLeast"/>
          <w:jc w:val="center"/>
        </w:trPr>
        <w:tc>
          <w:tcPr>
            <w:tcW w:w="9000" w:type="dxa"/>
            <w:noWrap w:val="0"/>
            <w:vAlign w:val="center"/>
          </w:tcPr>
          <w:p w14:paraId="606D6846">
            <w:pPr>
              <w:adjustRightInd w:val="0"/>
              <w:snapToGrid w:val="0"/>
              <w:jc w:val="center"/>
              <w:rPr>
                <w:rFonts w:hint="default" w:ascii="Times New Roman" w:hAnsi="Times New Roman" w:cs="Times New Roman"/>
                <w:b/>
                <w:snapToGrid w:val="0"/>
                <w:kern w:val="0"/>
              </w:rPr>
            </w:pPr>
          </w:p>
          <w:p w14:paraId="252525FE">
            <w:pPr>
              <w:adjustRightInd w:val="0"/>
              <w:snapToGrid w:val="0"/>
              <w:jc w:val="center"/>
              <w:rPr>
                <w:rFonts w:hint="default" w:ascii="Times New Roman" w:hAnsi="Times New Roman" w:cs="Times New Roman"/>
                <w:b/>
                <w:snapToGrid w:val="0"/>
                <w:kern w:val="0"/>
              </w:rPr>
            </w:pPr>
          </w:p>
          <w:p w14:paraId="49A88CA5">
            <w:pPr>
              <w:jc w:val="center"/>
              <w:rPr>
                <w:rFonts w:hint="default" w:ascii="Times New Roman" w:hAnsi="Times New Roman" w:eastAsia="黑体" w:cs="Times New Roman"/>
                <w:b/>
                <w:sz w:val="36"/>
                <w:szCs w:val="36"/>
              </w:rPr>
            </w:pPr>
            <w:r>
              <w:rPr>
                <w:rFonts w:hint="default" w:ascii="Times New Roman" w:hAnsi="Times New Roman" w:eastAsia="黑体" w:cs="Times New Roman"/>
                <w:b/>
                <w:sz w:val="36"/>
                <w:szCs w:val="36"/>
                <w:lang w:val="en-US" w:eastAsia="zh-CN"/>
              </w:rPr>
              <w:t>小型</w:t>
            </w:r>
            <w:r>
              <w:rPr>
                <w:rFonts w:hint="default" w:ascii="Times New Roman" w:hAnsi="Times New Roman" w:eastAsia="黑体" w:cs="Times New Roman"/>
                <w:b/>
                <w:sz w:val="36"/>
                <w:szCs w:val="36"/>
              </w:rPr>
              <w:t xml:space="preserve">水电站安全生产标准化自评报告                                                                                                                                                                                                                                                                                                                                                         </w:t>
            </w:r>
          </w:p>
          <w:p w14:paraId="03F897DF">
            <w:pPr>
              <w:jc w:val="center"/>
              <w:rPr>
                <w:rFonts w:hint="default" w:ascii="Times New Roman" w:hAnsi="Times New Roman" w:eastAsia="黑体" w:cs="Times New Roman"/>
                <w:b/>
                <w:sz w:val="44"/>
                <w:szCs w:val="44"/>
              </w:rPr>
            </w:pPr>
            <w:r>
              <w:rPr>
                <w:rFonts w:hint="default" w:ascii="Times New Roman" w:hAnsi="Times New Roman" w:eastAsia="黑体" w:cs="Times New Roman"/>
                <w:b/>
                <w:sz w:val="44"/>
                <w:szCs w:val="44"/>
              </w:rPr>
              <w:t xml:space="preserve"> </w:t>
            </w:r>
          </w:p>
          <w:p w14:paraId="5F805553">
            <w:pPr>
              <w:jc w:val="center"/>
              <w:rPr>
                <w:rFonts w:hint="default" w:ascii="Times New Roman" w:hAnsi="Times New Roman" w:eastAsia="黑体" w:cs="Times New Roman"/>
                <w:b/>
                <w:sz w:val="44"/>
                <w:szCs w:val="44"/>
              </w:rPr>
            </w:pPr>
          </w:p>
          <w:p w14:paraId="46982BCF">
            <w:pPr>
              <w:adjustRightInd w:val="0"/>
              <w:snapToGrid w:val="0"/>
              <w:spacing w:before="120" w:beforeLines="50"/>
              <w:ind w:firstLine="1643" w:firstLineChars="587"/>
              <w:rPr>
                <w:rFonts w:hint="default" w:ascii="Times New Roman" w:hAnsi="Times New Roman" w:cs="Times New Roman"/>
                <w:snapToGrid w:val="0"/>
                <w:kern w:val="0"/>
                <w:sz w:val="28"/>
                <w:szCs w:val="28"/>
              </w:rPr>
            </w:pPr>
          </w:p>
          <w:p w14:paraId="41AAE637">
            <w:pPr>
              <w:adjustRightInd w:val="0"/>
              <w:snapToGrid w:val="0"/>
              <w:spacing w:before="120" w:beforeLines="50"/>
              <w:ind w:firstLine="1643" w:firstLineChars="587"/>
              <w:rPr>
                <w:rFonts w:hint="default" w:ascii="Times New Roman" w:hAnsi="Times New Roman" w:cs="Times New Roman"/>
                <w:snapToGrid w:val="0"/>
                <w:kern w:val="0"/>
                <w:sz w:val="28"/>
                <w:szCs w:val="28"/>
              </w:rPr>
            </w:pPr>
          </w:p>
          <w:p w14:paraId="51BC919B">
            <w:pPr>
              <w:adjustRightInd w:val="0"/>
              <w:snapToGrid w:val="0"/>
              <w:spacing w:before="120" w:beforeLines="50"/>
              <w:ind w:firstLine="1643" w:firstLineChars="587"/>
              <w:rPr>
                <w:rFonts w:hint="default" w:ascii="Times New Roman" w:hAnsi="Times New Roman" w:cs="Times New Roman"/>
                <w:snapToGrid w:val="0"/>
                <w:kern w:val="0"/>
                <w:sz w:val="28"/>
                <w:szCs w:val="28"/>
                <w:u w:val="none"/>
              </w:rPr>
            </w:pPr>
            <w:r>
              <w:rPr>
                <w:rFonts w:hint="default" w:ascii="Times New Roman" w:hAnsi="Times New Roman" w:cs="Times New Roman"/>
                <w:sz w:val="28"/>
              </w:rPr>
              <mc:AlternateContent>
                <mc:Choice Requires="wps">
                  <w:drawing>
                    <wp:anchor distT="0" distB="0" distL="114300" distR="114300" simplePos="0" relativeHeight="251661312" behindDoc="0" locked="0" layoutInCell="1" allowOverlap="1">
                      <wp:simplePos x="0" y="0"/>
                      <wp:positionH relativeFrom="column">
                        <wp:posOffset>2026920</wp:posOffset>
                      </wp:positionH>
                      <wp:positionV relativeFrom="paragraph">
                        <wp:posOffset>311150</wp:posOffset>
                      </wp:positionV>
                      <wp:extent cx="151638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1516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9.6pt;margin-top:24.5pt;height:0.05pt;width:119.4pt;z-index:251661312;mso-width-relative:page;mso-height-relative:page;" filled="f" stroked="t" coordsize="21600,21600" o:gfxdata="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oCymr1wAAAAkBAAAPAAAAAAAAAAEAIAAAACIAAABkcnMvZG93bnJldi54bWxQ&#10;SwECFAAUAAAACACHTuJAsXjpkfgBAADmAwAADgAAAAAAAAABACAAAAAmAQAAZHJzL2Uyb0RvYy54&#10;bWxQSwUGAAAAAAYABgBZAQAAkAUAAAAA&#10;">
                      <v:fill on="f" focussize="0,0"/>
                      <v:stroke color="#000000" joinstyle="round"/>
                      <v:imagedata o:title=""/>
                      <o:lock v:ext="edit" aspectratio="f"/>
                    </v:line>
                  </w:pict>
                </mc:Fallback>
              </mc:AlternateContent>
            </w:r>
            <w:r>
              <w:rPr>
                <w:rFonts w:hint="default" w:ascii="Times New Roman" w:hAnsi="Times New Roman" w:cs="Times New Roman"/>
                <w:snapToGrid w:val="0"/>
                <w:kern w:val="0"/>
                <w:sz w:val="28"/>
                <w:szCs w:val="28"/>
              </w:rPr>
              <w:t>自评等级：</w:t>
            </w:r>
            <w:r>
              <w:rPr>
                <w:rFonts w:hint="default" w:ascii="Times New Roman" w:hAnsi="Times New Roman" w:cs="Times New Roman"/>
                <w:snapToGrid w:val="0"/>
                <w:kern w:val="0"/>
                <w:sz w:val="28"/>
                <w:szCs w:val="28"/>
                <w:u w:val="single"/>
              </w:rPr>
              <w:t xml:space="preserve">      </w:t>
            </w:r>
            <w:r>
              <w:rPr>
                <w:rFonts w:hint="default" w:ascii="Times New Roman" w:hAnsi="Times New Roman" w:cs="Times New Roman"/>
                <w:snapToGrid w:val="0"/>
                <w:kern w:val="0"/>
                <w:sz w:val="28"/>
                <w:szCs w:val="28"/>
                <w:u w:val="none"/>
              </w:rPr>
              <w:t xml:space="preserve">              </w:t>
            </w:r>
          </w:p>
          <w:p w14:paraId="20182DC3">
            <w:pPr>
              <w:adjustRightInd w:val="0"/>
              <w:snapToGrid w:val="0"/>
              <w:jc w:val="center"/>
              <w:rPr>
                <w:rFonts w:hint="default" w:ascii="Times New Roman" w:hAnsi="Times New Roman" w:cs="Times New Roman"/>
                <w:snapToGrid w:val="0"/>
                <w:kern w:val="0"/>
                <w:sz w:val="30"/>
                <w:szCs w:val="30"/>
              </w:rPr>
            </w:pPr>
          </w:p>
          <w:p w14:paraId="04B209F1">
            <w:pPr>
              <w:adjustRightInd w:val="0"/>
              <w:snapToGrid w:val="0"/>
              <w:jc w:val="center"/>
              <w:rPr>
                <w:rFonts w:hint="default" w:ascii="Times New Roman" w:hAnsi="Times New Roman" w:cs="Times New Roman"/>
                <w:snapToGrid w:val="0"/>
                <w:kern w:val="0"/>
                <w:sz w:val="30"/>
                <w:szCs w:val="30"/>
              </w:rPr>
            </w:pPr>
          </w:p>
          <w:p w14:paraId="789110A7">
            <w:pPr>
              <w:adjustRightInd w:val="0"/>
              <w:snapToGrid w:val="0"/>
              <w:jc w:val="center"/>
              <w:rPr>
                <w:rFonts w:hint="default" w:ascii="Times New Roman" w:hAnsi="Times New Roman" w:cs="Times New Roman"/>
                <w:snapToGrid w:val="0"/>
                <w:kern w:val="0"/>
                <w:sz w:val="30"/>
                <w:szCs w:val="30"/>
              </w:rPr>
            </w:pPr>
          </w:p>
          <w:p w14:paraId="08C700D6">
            <w:pPr>
              <w:adjustRightInd w:val="0"/>
              <w:snapToGrid w:val="0"/>
              <w:jc w:val="center"/>
              <w:rPr>
                <w:rFonts w:hint="default" w:ascii="Times New Roman" w:hAnsi="Times New Roman" w:cs="Times New Roman"/>
                <w:snapToGrid w:val="0"/>
                <w:kern w:val="0"/>
                <w:sz w:val="30"/>
                <w:szCs w:val="30"/>
              </w:rPr>
            </w:pPr>
          </w:p>
          <w:p w14:paraId="2A2E206B">
            <w:pPr>
              <w:adjustRightInd w:val="0"/>
              <w:snapToGrid w:val="0"/>
              <w:jc w:val="center"/>
              <w:rPr>
                <w:rFonts w:hint="default" w:ascii="Times New Roman" w:hAnsi="Times New Roman" w:eastAsia="宋体" w:cs="Times New Roman"/>
                <w:snapToGrid w:val="0"/>
                <w:kern w:val="0"/>
                <w:sz w:val="30"/>
                <w:szCs w:val="30"/>
                <w:lang w:eastAsia="zh-CN"/>
              </w:rPr>
            </w:pPr>
            <w:r>
              <w:rPr>
                <w:rFonts w:hint="default" w:ascii="Times New Roman" w:hAnsi="Times New Roman" w:cs="Times New Roman"/>
                <w:snapToGrid w:val="0"/>
                <w:kern w:val="0"/>
                <w:sz w:val="24"/>
                <w:szCs w:val="24"/>
              </w:rPr>
              <w:t>自评单位名称：</w:t>
            </w:r>
            <w:r>
              <w:rPr>
                <w:rFonts w:hint="default" w:ascii="Times New Roman" w:hAnsi="Times New Roman" w:cs="Times New Roman"/>
                <w:snapToGrid w:val="0"/>
                <w:kern w:val="0"/>
                <w:sz w:val="24"/>
                <w:szCs w:val="24"/>
                <w:lang w:eastAsia="zh-CN"/>
              </w:rPr>
              <w:t>（</w:t>
            </w:r>
            <w:r>
              <w:rPr>
                <w:rFonts w:hint="default" w:ascii="Times New Roman" w:hAnsi="Times New Roman" w:cs="Times New Roman"/>
                <w:snapToGrid w:val="0"/>
                <w:kern w:val="0"/>
                <w:sz w:val="24"/>
                <w:szCs w:val="24"/>
                <w:lang w:val="en-US" w:eastAsia="zh-CN"/>
              </w:rPr>
              <w:t>xx公司xx水电站</w:t>
            </w:r>
            <w:r>
              <w:rPr>
                <w:rFonts w:hint="default" w:ascii="Times New Roman" w:hAnsi="Times New Roman" w:cs="Times New Roman"/>
                <w:snapToGrid w:val="0"/>
                <w:kern w:val="0"/>
                <w:sz w:val="24"/>
                <w:szCs w:val="24"/>
                <w:lang w:eastAsia="zh-CN"/>
              </w:rPr>
              <w:t>）</w:t>
            </w:r>
          </w:p>
          <w:p w14:paraId="186C64F0">
            <w:pPr>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snapToGrid w:val="0"/>
                <w:kern w:val="0"/>
                <w:sz w:val="24"/>
                <w:szCs w:val="30"/>
              </w:rPr>
              <w:t>年  月  日</w:t>
            </w:r>
          </w:p>
        </w:tc>
      </w:tr>
    </w:tbl>
    <w:p w14:paraId="195990B8">
      <w:pPr>
        <w:pStyle w:val="19"/>
        <w:keepNext w:val="0"/>
        <w:keepLines w:val="0"/>
        <w:pageBreakBefore w:val="0"/>
        <w:widowControl w:val="0"/>
        <w:kinsoku/>
        <w:wordWrap/>
        <w:overflowPunct/>
        <w:topLinePunct w:val="0"/>
        <w:autoSpaceDE/>
        <w:autoSpaceDN/>
        <w:bidi w:val="0"/>
        <w:adjustRightInd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《自评报告》目录即自评报告的编写纲要如表2所示。</w:t>
      </w:r>
    </w:p>
    <w:p w14:paraId="411C667C">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both"/>
        <w:textAlignment w:val="baseline"/>
        <w:rPr>
          <w:rFonts w:hint="default" w:ascii="Times New Roman" w:hAnsi="Times New Roman" w:cs="Times New Roman"/>
          <w:b/>
          <w:snapToGrid w:val="0"/>
          <w:sz w:val="32"/>
          <w:szCs w:val="32"/>
        </w:rPr>
      </w:pPr>
      <w:r>
        <w:rPr>
          <w:rFonts w:hint="default" w:ascii="Times New Roman" w:hAnsi="Times New Roman" w:cs="Times New Roman"/>
          <w:b/>
          <w:snapToGrid w:val="0"/>
          <w:sz w:val="32"/>
          <w:szCs w:val="32"/>
        </w:rPr>
        <w:t xml:space="preserve">表2  </w:t>
      </w:r>
      <w:r>
        <w:rPr>
          <w:rFonts w:hint="default" w:ascii="Times New Roman" w:hAnsi="Times New Roman" w:cs="Times New Roman"/>
          <w:b/>
          <w:snapToGrid w:val="0"/>
          <w:sz w:val="32"/>
          <w:szCs w:val="32"/>
          <w:lang w:val="en-US" w:eastAsia="zh-CN"/>
        </w:rPr>
        <w:t>小型</w:t>
      </w:r>
      <w:r>
        <w:rPr>
          <w:rFonts w:hint="default" w:ascii="Times New Roman" w:hAnsi="Times New Roman" w:cs="Times New Roman"/>
          <w:b/>
          <w:snapToGrid w:val="0"/>
          <w:sz w:val="32"/>
          <w:szCs w:val="32"/>
        </w:rPr>
        <w:t>水电站安全生产标准化自评报告编写目录</w:t>
      </w:r>
    </w:p>
    <w:tbl>
      <w:tblPr>
        <w:tblStyle w:val="9"/>
        <w:tblW w:w="93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7CFE5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2" w:hRule="atLeast"/>
          <w:jc w:val="center"/>
        </w:trPr>
        <w:tc>
          <w:tcPr>
            <w:tcW w:w="9360" w:type="dxa"/>
            <w:noWrap w:val="0"/>
            <w:vAlign w:val="center"/>
          </w:tcPr>
          <w:p w14:paraId="265CFAD0">
            <w:pPr>
              <w:pStyle w:val="17"/>
              <w:spacing w:before="60" w:after="60"/>
              <w:ind w:firstLine="408"/>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目  录</w:t>
            </w:r>
          </w:p>
          <w:p w14:paraId="21B3E3C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一、单位概况</w:t>
            </w:r>
          </w:p>
          <w:p w14:paraId="326F0689">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二、安全生产管理状况</w:t>
            </w:r>
          </w:p>
          <w:p w14:paraId="7A28BEBB">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三、基本条件的符合情况</w:t>
            </w:r>
          </w:p>
          <w:p w14:paraId="6F6ED4D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四、自主评定工作开展情况</w:t>
            </w:r>
          </w:p>
          <w:p w14:paraId="57B86330">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五、安全生产标准化自评打分表</w:t>
            </w:r>
          </w:p>
          <w:p w14:paraId="1D94A9D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六、发现的主要问题、整改计划和措施、整改完成情况</w:t>
            </w:r>
          </w:p>
          <w:p w14:paraId="182B469D">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七、自主评定结果</w:t>
            </w:r>
          </w:p>
          <w:p w14:paraId="1439A1DB">
            <w:pPr>
              <w:pStyle w:val="17"/>
              <w:spacing w:before="60" w:after="60"/>
              <w:ind w:firstLine="560" w:firstLineChars="200"/>
              <w:jc w:val="both"/>
              <w:rPr>
                <w:rFonts w:hint="default" w:ascii="Times New Roman" w:hAnsi="Times New Roman" w:eastAsia="仿宋" w:cs="Times New Roman"/>
                <w:sz w:val="24"/>
                <w:szCs w:val="24"/>
              </w:rPr>
            </w:pPr>
            <w:r>
              <w:rPr>
                <w:rFonts w:hint="default" w:ascii="Times New Roman" w:hAnsi="Times New Roman" w:eastAsia="仿宋" w:cs="Times New Roman"/>
                <w:sz w:val="28"/>
                <w:szCs w:val="28"/>
              </w:rPr>
              <w:t>八、自评有关支持性文件</w:t>
            </w:r>
          </w:p>
        </w:tc>
      </w:tr>
    </w:tbl>
    <w:p w14:paraId="328CDD64">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二、单位概况</w:t>
      </w:r>
    </w:p>
    <w:p w14:paraId="32DCF02B">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632" w:firstLineChars="200"/>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写明单位的性质、地理位置、单位证照情况、建站和投产时间（最近一次改造时间）、竣工情况、电站规模(装机台数，单机容量，总容量，安装类型)、员工人数、主设备简况、与电网并网情况等。</w:t>
      </w:r>
    </w:p>
    <w:p w14:paraId="1F747884">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三、安全生产管理状况</w:t>
      </w:r>
    </w:p>
    <w:p w14:paraId="74CC77DD">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1.安全生产标准化建设、实施运行情况</w:t>
      </w:r>
    </w:p>
    <w:p w14:paraId="0E76E365">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初次申请达标评审的单位应阐述本单位开展安全生产标准化建设的全过程，包括成立标准化建设组织机构、初始状态评审、制定建设实施方案、教育培训、管理文件制修订、实施运行及整改、单位自评等过程。安全生产标准化体系创建并运行一年以上，运行良好后再进行自主评定，以检验建设成效。</w:t>
      </w:r>
    </w:p>
    <w:p w14:paraId="3EEE410C">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 w:cs="Times New Roman"/>
          <w:spacing w:val="-2"/>
          <w:sz w:val="32"/>
          <w:szCs w:val="32"/>
        </w:rPr>
      </w:pPr>
      <w:r>
        <w:rPr>
          <w:rFonts w:hint="default" w:ascii="Times New Roman" w:hAnsi="Times New Roman" w:eastAsia="仿宋_GB2312" w:cs="Times New Roman"/>
          <w:spacing w:val="-2"/>
          <w:sz w:val="32"/>
          <w:szCs w:val="32"/>
        </w:rPr>
        <w:t>申请升级的达标单位或不符合延期换证条件的达标单位应重点阐述本单位安全生产标准化实施运行情况。</w:t>
      </w:r>
    </w:p>
    <w:p w14:paraId="431AFF9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2.安全生产标准化建设成效</w:t>
      </w:r>
    </w:p>
    <w:p w14:paraId="4810D0A2">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阐述本单位安全生产标准化实施运行以来，在安全管理方面取得的成效，主要内容包括：目标职责、制度化管理、教育培训、现场管理、安全风险管控及隐患排查治理、应急管理、事故管理和持续改进等。建设成效应有相应的原始材料、图片资料佐证。</w:t>
      </w:r>
    </w:p>
    <w:p w14:paraId="0F0C95AA">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四、基本条件的符合情况</w:t>
      </w:r>
    </w:p>
    <w:p w14:paraId="52C9AAAB">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小型</w:t>
      </w:r>
      <w:r>
        <w:rPr>
          <w:rFonts w:hint="default" w:ascii="Times New Roman" w:hAnsi="Times New Roman" w:eastAsia="仿宋_GB2312" w:cs="Times New Roman"/>
          <w:sz w:val="32"/>
          <w:szCs w:val="32"/>
        </w:rPr>
        <w:t>水电站应对照以下基本条件，分别写明其符合性，对不符合项应写明原因。各类证件均必须提供原件。这些基本要求包括《小型水电站安全生产标准化评审细则》第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条明确的</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项否决项，如表3所示。</w:t>
      </w:r>
    </w:p>
    <w:p w14:paraId="6ADF6079">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rPr>
        <w:t>表3  单位基本条件符合性自查表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4"/>
        <w:gridCol w:w="6521"/>
        <w:gridCol w:w="1276"/>
        <w:gridCol w:w="1134"/>
      </w:tblGrid>
      <w:tr w14:paraId="6745E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4" w:type="dxa"/>
            <w:noWrap w:val="0"/>
            <w:vAlign w:val="center"/>
          </w:tcPr>
          <w:p w14:paraId="7B2B6799">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序号</w:t>
            </w:r>
          </w:p>
        </w:tc>
        <w:tc>
          <w:tcPr>
            <w:tcW w:w="6521" w:type="dxa"/>
            <w:noWrap w:val="0"/>
            <w:vAlign w:val="center"/>
          </w:tcPr>
          <w:p w14:paraId="3C100161">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评审项目</w:t>
            </w:r>
          </w:p>
        </w:tc>
        <w:tc>
          <w:tcPr>
            <w:tcW w:w="1276" w:type="dxa"/>
            <w:noWrap w:val="0"/>
            <w:vAlign w:val="center"/>
          </w:tcPr>
          <w:p w14:paraId="062241D5">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支撑材料的完备性</w:t>
            </w:r>
          </w:p>
        </w:tc>
        <w:tc>
          <w:tcPr>
            <w:tcW w:w="1134" w:type="dxa"/>
            <w:noWrap w:val="0"/>
            <w:vAlign w:val="center"/>
          </w:tcPr>
          <w:p w14:paraId="3CD5190A">
            <w:pPr>
              <w:pStyle w:val="17"/>
              <w:spacing w:before="60" w:after="60"/>
              <w:ind w:left="-82" w:leftChars="-39" w:right="-67" w:rightChars="-32"/>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结论</w:t>
            </w:r>
          </w:p>
          <w:p w14:paraId="62D2F03F">
            <w:pPr>
              <w:pStyle w:val="17"/>
              <w:spacing w:before="60" w:after="60"/>
              <w:ind w:left="-82" w:leftChars="-39" w:right="-67" w:rightChars="-32"/>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w:t>
            </w:r>
          </w:p>
        </w:tc>
      </w:tr>
      <w:tr w14:paraId="38635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54" w:type="dxa"/>
            <w:noWrap w:val="0"/>
            <w:vAlign w:val="center"/>
          </w:tcPr>
          <w:p w14:paraId="43569C64">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6521" w:type="dxa"/>
            <w:noWrap w:val="0"/>
            <w:vAlign w:val="center"/>
          </w:tcPr>
          <w:p w14:paraId="34C58620">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水库大坝、水闸按规定注册、变更登记、进行安全鉴定（评估）、评价安全状况和评定安全等级，鉴定（评估）结果达到二类及以上</w:t>
            </w:r>
          </w:p>
        </w:tc>
        <w:tc>
          <w:tcPr>
            <w:tcW w:w="1276" w:type="dxa"/>
            <w:noWrap w:val="0"/>
            <w:vAlign w:val="center"/>
          </w:tcPr>
          <w:p w14:paraId="19B0EA15">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2F51D6F5">
            <w:pPr>
              <w:pStyle w:val="17"/>
              <w:spacing w:before="60" w:after="60"/>
              <w:rPr>
                <w:rFonts w:hint="default" w:ascii="Times New Roman" w:hAnsi="Times New Roman" w:eastAsia="仿宋_GB2312" w:cs="Times New Roman"/>
                <w:sz w:val="24"/>
                <w:szCs w:val="24"/>
              </w:rPr>
            </w:pPr>
          </w:p>
        </w:tc>
      </w:tr>
      <w:tr w14:paraId="32E53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4FEF6683">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6521" w:type="dxa"/>
            <w:noWrap w:val="0"/>
            <w:vAlign w:val="center"/>
          </w:tcPr>
          <w:p w14:paraId="5F4A1720">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评审前一年内未发生人员死亡、重伤3人以上的生产安全责任事故、较大以上电力设备事故</w:t>
            </w:r>
          </w:p>
        </w:tc>
        <w:tc>
          <w:tcPr>
            <w:tcW w:w="1276" w:type="dxa"/>
            <w:noWrap w:val="0"/>
            <w:vAlign w:val="center"/>
          </w:tcPr>
          <w:p w14:paraId="615E8453">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3AC056CC">
            <w:pPr>
              <w:pStyle w:val="17"/>
              <w:spacing w:before="60" w:after="60"/>
              <w:rPr>
                <w:rFonts w:hint="default" w:ascii="Times New Roman" w:hAnsi="Times New Roman" w:eastAsia="仿宋_GB2312" w:cs="Times New Roman"/>
                <w:sz w:val="24"/>
                <w:szCs w:val="24"/>
              </w:rPr>
            </w:pPr>
          </w:p>
        </w:tc>
      </w:tr>
      <w:tr w14:paraId="45259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0354BDAE">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6521" w:type="dxa"/>
            <w:noWrap w:val="0"/>
            <w:vAlign w:val="center"/>
          </w:tcPr>
          <w:p w14:paraId="08809237">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不存在迟报、漏报、谎报、瞒报生产安全责任事故等行为</w:t>
            </w:r>
          </w:p>
        </w:tc>
        <w:tc>
          <w:tcPr>
            <w:tcW w:w="1276" w:type="dxa"/>
            <w:noWrap w:val="0"/>
            <w:vAlign w:val="center"/>
          </w:tcPr>
          <w:p w14:paraId="58AB70BC">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52A85204">
            <w:pPr>
              <w:pStyle w:val="17"/>
              <w:spacing w:before="60" w:after="60"/>
              <w:rPr>
                <w:rFonts w:hint="default" w:ascii="Times New Roman" w:hAnsi="Times New Roman" w:eastAsia="仿宋_GB2312" w:cs="Times New Roman"/>
                <w:sz w:val="24"/>
                <w:szCs w:val="24"/>
              </w:rPr>
            </w:pPr>
          </w:p>
        </w:tc>
      </w:tr>
      <w:tr w14:paraId="4875BF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54" w:type="dxa"/>
            <w:noWrap w:val="0"/>
            <w:vAlign w:val="center"/>
          </w:tcPr>
          <w:p w14:paraId="76D14F94">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6521" w:type="dxa"/>
            <w:noWrap w:val="0"/>
            <w:vAlign w:val="center"/>
          </w:tcPr>
          <w:p w14:paraId="6DEF2F63">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不存在重大事故隐患。重大事故隐患判定，应执行水利行业现行有关规定</w:t>
            </w:r>
          </w:p>
        </w:tc>
        <w:tc>
          <w:tcPr>
            <w:tcW w:w="1276" w:type="dxa"/>
            <w:noWrap w:val="0"/>
            <w:vAlign w:val="center"/>
          </w:tcPr>
          <w:p w14:paraId="061D9A2C">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AA43A92">
            <w:pPr>
              <w:pStyle w:val="17"/>
              <w:spacing w:before="60" w:after="60"/>
              <w:rPr>
                <w:rFonts w:hint="default" w:ascii="Times New Roman" w:hAnsi="Times New Roman" w:eastAsia="仿宋_GB2312" w:cs="Times New Roman"/>
                <w:sz w:val="24"/>
                <w:szCs w:val="24"/>
              </w:rPr>
            </w:pPr>
          </w:p>
        </w:tc>
      </w:tr>
      <w:tr w14:paraId="1A65A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54" w:type="dxa"/>
            <w:noWrap w:val="0"/>
            <w:vAlign w:val="center"/>
          </w:tcPr>
          <w:p w14:paraId="2051DECE">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6521" w:type="dxa"/>
            <w:noWrap w:val="0"/>
            <w:vAlign w:val="center"/>
          </w:tcPr>
          <w:p w14:paraId="24790D5D">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按规定设置生态流量泄放设施且不影响相关水工建筑物的安全运行</w:t>
            </w:r>
          </w:p>
        </w:tc>
        <w:tc>
          <w:tcPr>
            <w:tcW w:w="1276" w:type="dxa"/>
            <w:noWrap w:val="0"/>
            <w:vAlign w:val="center"/>
          </w:tcPr>
          <w:p w14:paraId="22E26D49">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2C32E2BB">
            <w:pPr>
              <w:pStyle w:val="17"/>
              <w:spacing w:before="60" w:after="60"/>
              <w:rPr>
                <w:rFonts w:hint="default" w:ascii="Times New Roman" w:hAnsi="Times New Roman" w:eastAsia="仿宋_GB2312" w:cs="Times New Roman"/>
                <w:sz w:val="24"/>
                <w:szCs w:val="24"/>
              </w:rPr>
            </w:pPr>
          </w:p>
        </w:tc>
      </w:tr>
      <w:tr w14:paraId="36A0D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454" w:type="dxa"/>
            <w:noWrap w:val="0"/>
            <w:vAlign w:val="center"/>
          </w:tcPr>
          <w:p w14:paraId="4887E250">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6521" w:type="dxa"/>
            <w:noWrap w:val="0"/>
            <w:vAlign w:val="center"/>
          </w:tcPr>
          <w:p w14:paraId="1A8FFE07">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评审前一年内，生态流量泄放符合本地区监管要求</w:t>
            </w:r>
          </w:p>
        </w:tc>
        <w:tc>
          <w:tcPr>
            <w:tcW w:w="1276" w:type="dxa"/>
            <w:noWrap w:val="0"/>
            <w:vAlign w:val="center"/>
          </w:tcPr>
          <w:p w14:paraId="76B80B06">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7763B103">
            <w:pPr>
              <w:pStyle w:val="17"/>
              <w:spacing w:before="60" w:after="60"/>
              <w:rPr>
                <w:rFonts w:hint="default" w:ascii="Times New Roman" w:hAnsi="Times New Roman" w:eastAsia="仿宋_GB2312" w:cs="Times New Roman"/>
                <w:sz w:val="24"/>
                <w:szCs w:val="24"/>
              </w:rPr>
            </w:pPr>
          </w:p>
        </w:tc>
      </w:tr>
      <w:tr w14:paraId="16E2C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54" w:type="dxa"/>
            <w:noWrap w:val="0"/>
            <w:vAlign w:val="center"/>
          </w:tcPr>
          <w:p w14:paraId="1A4448AC">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6521" w:type="dxa"/>
            <w:noWrap w:val="0"/>
            <w:vAlign w:val="center"/>
          </w:tcPr>
          <w:p w14:paraId="723ED613">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起重设备、压力容器等特种设备按规定定期检验、检测合格</w:t>
            </w:r>
          </w:p>
        </w:tc>
        <w:tc>
          <w:tcPr>
            <w:tcW w:w="1276" w:type="dxa"/>
            <w:noWrap w:val="0"/>
            <w:vAlign w:val="center"/>
          </w:tcPr>
          <w:p w14:paraId="3A3154BA">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7F6ED5A">
            <w:pPr>
              <w:pStyle w:val="17"/>
              <w:spacing w:before="60" w:after="60"/>
              <w:rPr>
                <w:rFonts w:hint="default" w:ascii="Times New Roman" w:hAnsi="Times New Roman" w:eastAsia="仿宋_GB2312" w:cs="Times New Roman"/>
                <w:sz w:val="24"/>
                <w:szCs w:val="24"/>
              </w:rPr>
            </w:pPr>
          </w:p>
        </w:tc>
      </w:tr>
      <w:tr w14:paraId="0C155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1B251F14">
            <w:pPr>
              <w:pStyle w:val="17"/>
              <w:spacing w:before="60" w:after="60"/>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8</w:t>
            </w:r>
          </w:p>
        </w:tc>
        <w:tc>
          <w:tcPr>
            <w:tcW w:w="6521" w:type="dxa"/>
            <w:noWrap w:val="0"/>
            <w:vAlign w:val="center"/>
          </w:tcPr>
          <w:p w14:paraId="2FA80A8C">
            <w:pPr>
              <w:pStyle w:val="17"/>
              <w:adjustRightInd/>
              <w:spacing w:before="60" w:after="60"/>
              <w:contextualSpacing/>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rPr>
              <w:t>压力钢管按规定检测为基本安全及以上</w:t>
            </w:r>
          </w:p>
        </w:tc>
        <w:tc>
          <w:tcPr>
            <w:tcW w:w="1276" w:type="dxa"/>
            <w:noWrap w:val="0"/>
            <w:vAlign w:val="center"/>
          </w:tcPr>
          <w:p w14:paraId="3183751A">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6905C4C5">
            <w:pPr>
              <w:pStyle w:val="17"/>
              <w:spacing w:before="60" w:after="60"/>
              <w:rPr>
                <w:rFonts w:hint="default" w:ascii="Times New Roman" w:hAnsi="Times New Roman" w:eastAsia="仿宋_GB2312" w:cs="Times New Roman"/>
                <w:sz w:val="24"/>
                <w:szCs w:val="24"/>
              </w:rPr>
            </w:pPr>
          </w:p>
        </w:tc>
      </w:tr>
      <w:tr w14:paraId="1CA96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5B9E54AA">
            <w:pPr>
              <w:pStyle w:val="17"/>
              <w:spacing w:before="60" w:after="6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w:t>
            </w:r>
          </w:p>
        </w:tc>
        <w:tc>
          <w:tcPr>
            <w:tcW w:w="6521" w:type="dxa"/>
            <w:noWrap w:val="0"/>
            <w:vAlign w:val="center"/>
          </w:tcPr>
          <w:p w14:paraId="604EA01D">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不存在非法违法生产经营行为，未被列入严重失信主体名单</w:t>
            </w:r>
          </w:p>
        </w:tc>
        <w:tc>
          <w:tcPr>
            <w:tcW w:w="1276" w:type="dxa"/>
            <w:noWrap w:val="0"/>
            <w:vAlign w:val="center"/>
          </w:tcPr>
          <w:p w14:paraId="202B3AAE">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13A962C">
            <w:pPr>
              <w:pStyle w:val="17"/>
              <w:spacing w:before="60" w:after="60"/>
              <w:rPr>
                <w:rFonts w:hint="default" w:ascii="Times New Roman" w:hAnsi="Times New Roman" w:eastAsia="仿宋_GB2312" w:cs="Times New Roman"/>
                <w:sz w:val="24"/>
                <w:szCs w:val="24"/>
              </w:rPr>
            </w:pPr>
          </w:p>
        </w:tc>
      </w:tr>
      <w:tr w14:paraId="58C8E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385" w:type="dxa"/>
            <w:gridSpan w:val="4"/>
            <w:noWrap w:val="0"/>
            <w:vAlign w:val="center"/>
          </w:tcPr>
          <w:p w14:paraId="6E6F46E8">
            <w:pPr>
              <w:pStyle w:val="17"/>
              <w:spacing w:before="60" w:after="6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补充说明：</w:t>
            </w:r>
          </w:p>
        </w:tc>
      </w:tr>
    </w:tbl>
    <w:p w14:paraId="6329C721">
      <w:pPr>
        <w:pStyle w:val="21"/>
        <w:keepNext w:val="0"/>
        <w:keepLines w:val="0"/>
        <w:pageBreakBefore w:val="0"/>
        <w:widowControl w:val="0"/>
        <w:kinsoku/>
        <w:wordWrap/>
        <w:overflowPunct/>
        <w:topLinePunct w:val="0"/>
        <w:autoSpaceDE/>
        <w:autoSpaceDN/>
        <w:bidi w:val="0"/>
        <w:spacing w:beforeLines="0" w:afterLines="0"/>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注：“支撑材料的完备性”填写“√/×”；缺相关材料时，可在“补充说明”中给出合理解释，并给出解决方案。</w:t>
      </w:r>
    </w:p>
    <w:p w14:paraId="66A8A615">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五、自主评定工作开展情况</w:t>
      </w:r>
    </w:p>
    <w:p w14:paraId="7A379D4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写明组织机构（应包括公司领导、管理层、技术人员、安全员等）、自评计划和方案、开展形式、查评时间、查评依据、查评范围、查评方法、自评实施、查评整改等内容。自主评定应全覆盖开展，并提供自评过程的影像资料，如首次会议、末次会议、现场自评等图片。</w:t>
      </w:r>
    </w:p>
    <w:p w14:paraId="5631230B">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六、安全生产标准化自评打分表</w:t>
      </w:r>
    </w:p>
    <w:p w14:paraId="041084F1">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1.自评打分表</w:t>
      </w:r>
    </w:p>
    <w:p w14:paraId="7F48479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（1）“自评描述”一栏中，应写明自主评定涉及的具体检查对象、检查内容、检查结果，应提供相关数据、证明资料名称及文件号等。自评描述应客观、详实、准确。</w:t>
      </w:r>
    </w:p>
    <w:p w14:paraId="6805C995">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（2）“自评描述”内容有扣分的项目应突出显示（如加粗或变换字体颜色等）。</w:t>
      </w:r>
    </w:p>
    <w:p w14:paraId="4FEAD538">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2.合理缺项说明</w:t>
      </w:r>
    </w:p>
    <w:p w14:paraId="451F91C7">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写明判定合理缺项的具体说明。</w:t>
      </w:r>
    </w:p>
    <w:p w14:paraId="50E44BAA">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 w:val="32"/>
          <w:szCs w:val="32"/>
        </w:rPr>
      </w:pPr>
      <w:r>
        <w:rPr>
          <w:rFonts w:hint="default" w:ascii="Times New Roman" w:hAnsi="Times New Roman" w:cs="Times New Roman"/>
          <w:b/>
          <w:snapToGrid w:val="0"/>
          <w:sz w:val="32"/>
          <w:szCs w:val="32"/>
        </w:rPr>
        <w:t>表4  合理缺项明细表</w:t>
      </w:r>
    </w:p>
    <w:tbl>
      <w:tblPr>
        <w:tblStyle w:val="9"/>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93"/>
        <w:gridCol w:w="1935"/>
        <w:gridCol w:w="1897"/>
        <w:gridCol w:w="1341"/>
        <w:gridCol w:w="3278"/>
      </w:tblGrid>
      <w:tr w14:paraId="7ED173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35" w:hRule="atLeast"/>
          <w:jc w:val="center"/>
        </w:trPr>
        <w:tc>
          <w:tcPr>
            <w:tcW w:w="893" w:type="dxa"/>
            <w:noWrap w:val="0"/>
            <w:vAlign w:val="center"/>
          </w:tcPr>
          <w:p w14:paraId="291ED8DE">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序号</w:t>
            </w:r>
          </w:p>
        </w:tc>
        <w:tc>
          <w:tcPr>
            <w:tcW w:w="1935" w:type="dxa"/>
            <w:noWrap w:val="0"/>
            <w:vAlign w:val="center"/>
          </w:tcPr>
          <w:p w14:paraId="59735AD6">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二级评审项目</w:t>
            </w:r>
          </w:p>
        </w:tc>
        <w:tc>
          <w:tcPr>
            <w:tcW w:w="1897" w:type="dxa"/>
            <w:noWrap w:val="0"/>
            <w:vAlign w:val="center"/>
          </w:tcPr>
          <w:p w14:paraId="22B4EB82">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三级评审项目</w:t>
            </w:r>
          </w:p>
        </w:tc>
        <w:tc>
          <w:tcPr>
            <w:tcW w:w="1341" w:type="dxa"/>
            <w:noWrap w:val="0"/>
            <w:vAlign w:val="center"/>
          </w:tcPr>
          <w:p w14:paraId="3359DADE">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标准分值</w:t>
            </w:r>
          </w:p>
        </w:tc>
        <w:tc>
          <w:tcPr>
            <w:tcW w:w="3278" w:type="dxa"/>
            <w:noWrap w:val="0"/>
            <w:vAlign w:val="center"/>
          </w:tcPr>
          <w:p w14:paraId="52DB6047">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合理缺项说明（原因）</w:t>
            </w:r>
          </w:p>
        </w:tc>
      </w:tr>
      <w:tr w14:paraId="2B9D07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93" w:type="dxa"/>
            <w:noWrap w:val="0"/>
            <w:vAlign w:val="center"/>
          </w:tcPr>
          <w:p w14:paraId="0FB821B2">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069F979C">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59DBA3EF">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5676BEB8">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2281EE2C">
            <w:pPr>
              <w:spacing w:line="276" w:lineRule="auto"/>
              <w:ind w:firstLine="420"/>
              <w:jc w:val="center"/>
              <w:rPr>
                <w:rFonts w:hint="default" w:ascii="Times New Roman" w:hAnsi="Times New Roman" w:eastAsia="仿宋" w:cs="Times New Roman"/>
                <w:color w:val="FF0000"/>
                <w:sz w:val="24"/>
                <w:szCs w:val="24"/>
              </w:rPr>
            </w:pPr>
          </w:p>
        </w:tc>
      </w:tr>
      <w:tr w14:paraId="7AF982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93" w:type="dxa"/>
            <w:noWrap w:val="0"/>
            <w:vAlign w:val="center"/>
          </w:tcPr>
          <w:p w14:paraId="6A97845F">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7CB76446">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02220EB6">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75EFA3D7">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51D11327">
            <w:pPr>
              <w:spacing w:line="276" w:lineRule="auto"/>
              <w:ind w:firstLine="420"/>
              <w:jc w:val="center"/>
              <w:rPr>
                <w:rFonts w:hint="default" w:ascii="Times New Roman" w:hAnsi="Times New Roman" w:eastAsia="仿宋" w:cs="Times New Roman"/>
                <w:color w:val="FF0000"/>
                <w:sz w:val="24"/>
                <w:szCs w:val="24"/>
              </w:rPr>
            </w:pPr>
          </w:p>
        </w:tc>
      </w:tr>
      <w:tr w14:paraId="0F2DBE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893" w:type="dxa"/>
            <w:noWrap w:val="0"/>
            <w:vAlign w:val="center"/>
          </w:tcPr>
          <w:p w14:paraId="681114F5">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61ECB1AC">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211EB86F">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4BB51354">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7CA5BB97">
            <w:pPr>
              <w:spacing w:line="276" w:lineRule="auto"/>
              <w:ind w:firstLine="420"/>
              <w:jc w:val="center"/>
              <w:rPr>
                <w:rFonts w:hint="default" w:ascii="Times New Roman" w:hAnsi="Times New Roman" w:eastAsia="仿宋" w:cs="Times New Roman"/>
                <w:color w:val="FF0000"/>
                <w:sz w:val="24"/>
                <w:szCs w:val="24"/>
              </w:rPr>
            </w:pPr>
          </w:p>
        </w:tc>
      </w:tr>
    </w:tbl>
    <w:p w14:paraId="4BDF711F">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560" w:firstLineChars="200"/>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kern w:val="2"/>
          <w:sz w:val="28"/>
          <w:szCs w:val="28"/>
          <w:lang w:val="en-US" w:eastAsia="zh-CN" w:bidi="ar-SA"/>
        </w:rPr>
        <w:t>注：1.合理缺项是指由于申请单位生产经营实际情况限定等因素，未开展评审标准中需要评审的相关生产经营活动，不存在应当评审的设备设施或生产工艺，未达到规定的规模和要求的，或对评审标准中相应的条款不需要进行评审等，而形成的空缺。合理缺项应在总分中扣除该项应得分数。</w:t>
      </w:r>
    </w:p>
    <w:p w14:paraId="538D66C7">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560" w:firstLineChars="200"/>
        <w:textAlignment w:val="baseline"/>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2</w:t>
      </w:r>
      <w:r>
        <w:rPr>
          <w:rFonts w:hint="default" w:ascii="Times New Roman" w:hAnsi="Times New Roman"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合理缺项的确定原则：（1）生产经营范围没有评审标准中规定的项目的；（2）不存在评审标准中规定的应当评审的设备设施或生产工艺的；（3）未达到规定要求的规模和条件的。</w:t>
      </w:r>
    </w:p>
    <w:p w14:paraId="22B9212E">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七、发现的主要问题、整改计划和措施、整改完成情况</w:t>
      </w:r>
    </w:p>
    <w:p w14:paraId="52640F1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自评工作结束后，应对评审的问题项进行打分，提出整改措施，确定重点问题，填写《发现的主要问题、整改措施及分项评分明细表》。格式如表5所示。</w:t>
      </w:r>
      <w:bookmarkStart w:id="16" w:name="_Toc392696577"/>
      <w:bookmarkStart w:id="17" w:name="_Toc411371074"/>
    </w:p>
    <w:p w14:paraId="23F63144">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lang w:val="en-US" w:eastAsia="zh-CN"/>
        </w:rPr>
        <w:t>表</w:t>
      </w:r>
      <w:r>
        <w:rPr>
          <w:rFonts w:hint="default" w:ascii="Times New Roman" w:hAnsi="Times New Roman" w:cs="Times New Roman"/>
          <w:b/>
          <w:snapToGrid w:val="0"/>
          <w:sz w:val="32"/>
          <w:szCs w:val="32"/>
        </w:rPr>
        <w:t xml:space="preserve">5  </w:t>
      </w:r>
      <w:bookmarkEnd w:id="16"/>
      <w:r>
        <w:rPr>
          <w:rFonts w:hint="default" w:ascii="Times New Roman" w:hAnsi="Times New Roman" w:cs="Times New Roman"/>
          <w:b/>
          <w:snapToGrid w:val="0"/>
          <w:sz w:val="32"/>
          <w:szCs w:val="32"/>
        </w:rPr>
        <w:t>发现的主要问题、整改措施及分项评分明细表</w:t>
      </w:r>
      <w:bookmarkEnd w:id="17"/>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567"/>
        <w:gridCol w:w="775"/>
        <w:gridCol w:w="992"/>
        <w:gridCol w:w="850"/>
        <w:gridCol w:w="681"/>
        <w:gridCol w:w="602"/>
        <w:gridCol w:w="603"/>
        <w:gridCol w:w="1375"/>
        <w:gridCol w:w="850"/>
        <w:gridCol w:w="709"/>
        <w:gridCol w:w="508"/>
        <w:gridCol w:w="1502"/>
      </w:tblGrid>
      <w:tr w14:paraId="51593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7F3B77CF">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序号</w:t>
            </w:r>
          </w:p>
        </w:tc>
        <w:tc>
          <w:tcPr>
            <w:tcW w:w="775" w:type="dxa"/>
            <w:noWrap w:val="0"/>
            <w:vAlign w:val="center"/>
          </w:tcPr>
          <w:p w14:paraId="67B8BBC6">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项目序号</w:t>
            </w:r>
          </w:p>
        </w:tc>
        <w:tc>
          <w:tcPr>
            <w:tcW w:w="992" w:type="dxa"/>
            <w:noWrap w:val="0"/>
            <w:vAlign w:val="center"/>
          </w:tcPr>
          <w:p w14:paraId="00782598">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发现的</w:t>
            </w:r>
          </w:p>
          <w:p w14:paraId="39BBC50C">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问题</w:t>
            </w:r>
          </w:p>
        </w:tc>
        <w:tc>
          <w:tcPr>
            <w:tcW w:w="850" w:type="dxa"/>
            <w:noWrap w:val="0"/>
            <w:vAlign w:val="center"/>
          </w:tcPr>
          <w:p w14:paraId="046050EB">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扣分标准</w:t>
            </w:r>
          </w:p>
        </w:tc>
        <w:tc>
          <w:tcPr>
            <w:tcW w:w="681" w:type="dxa"/>
            <w:noWrap w:val="0"/>
            <w:vAlign w:val="center"/>
          </w:tcPr>
          <w:p w14:paraId="702DBE55">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标准分</w:t>
            </w:r>
          </w:p>
        </w:tc>
        <w:tc>
          <w:tcPr>
            <w:tcW w:w="602" w:type="dxa"/>
            <w:noWrap w:val="0"/>
            <w:vAlign w:val="center"/>
          </w:tcPr>
          <w:p w14:paraId="35AF171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应扣分</w:t>
            </w:r>
          </w:p>
        </w:tc>
        <w:tc>
          <w:tcPr>
            <w:tcW w:w="603" w:type="dxa"/>
            <w:noWrap w:val="0"/>
            <w:vAlign w:val="center"/>
          </w:tcPr>
          <w:p w14:paraId="31828DB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实得分</w:t>
            </w:r>
          </w:p>
        </w:tc>
        <w:tc>
          <w:tcPr>
            <w:tcW w:w="1375" w:type="dxa"/>
            <w:noWrap w:val="0"/>
            <w:vAlign w:val="center"/>
          </w:tcPr>
          <w:p w14:paraId="57A051C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整改措施及计划完成时间</w:t>
            </w:r>
          </w:p>
        </w:tc>
        <w:tc>
          <w:tcPr>
            <w:tcW w:w="850" w:type="dxa"/>
            <w:noWrap w:val="0"/>
            <w:vAlign w:val="center"/>
          </w:tcPr>
          <w:p w14:paraId="40A37007">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整改完成情况</w:t>
            </w:r>
          </w:p>
        </w:tc>
        <w:tc>
          <w:tcPr>
            <w:tcW w:w="709" w:type="dxa"/>
            <w:noWrap w:val="0"/>
            <w:vAlign w:val="center"/>
          </w:tcPr>
          <w:p w14:paraId="065E78F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责任人/部门</w:t>
            </w:r>
          </w:p>
        </w:tc>
        <w:tc>
          <w:tcPr>
            <w:tcW w:w="508" w:type="dxa"/>
            <w:noWrap w:val="0"/>
            <w:vAlign w:val="center"/>
          </w:tcPr>
          <w:p w14:paraId="63DCC18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督办人</w:t>
            </w:r>
          </w:p>
        </w:tc>
        <w:tc>
          <w:tcPr>
            <w:tcW w:w="1502" w:type="dxa"/>
            <w:noWrap w:val="0"/>
            <w:vAlign w:val="center"/>
          </w:tcPr>
          <w:p w14:paraId="065D7359">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是否重点问题（√/×）</w:t>
            </w:r>
          </w:p>
        </w:tc>
      </w:tr>
      <w:tr w14:paraId="50B70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1D4B2F92">
            <w:pPr>
              <w:pStyle w:val="17"/>
              <w:spacing w:before="60" w:after="60"/>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775" w:type="dxa"/>
            <w:noWrap w:val="0"/>
            <w:vAlign w:val="center"/>
          </w:tcPr>
          <w:p w14:paraId="79D219A4">
            <w:pPr>
              <w:pStyle w:val="17"/>
              <w:spacing w:before="60" w:after="60"/>
              <w:rPr>
                <w:rFonts w:hint="default" w:ascii="Times New Roman" w:hAnsi="Times New Roman" w:eastAsia="仿宋" w:cs="Times New Roman"/>
                <w:sz w:val="24"/>
                <w:szCs w:val="24"/>
              </w:rPr>
            </w:pPr>
          </w:p>
        </w:tc>
        <w:tc>
          <w:tcPr>
            <w:tcW w:w="992" w:type="dxa"/>
            <w:noWrap w:val="0"/>
            <w:vAlign w:val="center"/>
          </w:tcPr>
          <w:p w14:paraId="65C12141">
            <w:pPr>
              <w:pStyle w:val="17"/>
              <w:spacing w:before="60" w:after="60"/>
              <w:rPr>
                <w:rFonts w:hint="default" w:ascii="Times New Roman" w:hAnsi="Times New Roman" w:eastAsia="仿宋" w:cs="Times New Roman"/>
                <w:sz w:val="24"/>
                <w:szCs w:val="24"/>
              </w:rPr>
            </w:pPr>
          </w:p>
        </w:tc>
        <w:tc>
          <w:tcPr>
            <w:tcW w:w="850" w:type="dxa"/>
            <w:noWrap w:val="0"/>
            <w:vAlign w:val="center"/>
          </w:tcPr>
          <w:p w14:paraId="61AB5971">
            <w:pPr>
              <w:pStyle w:val="17"/>
              <w:spacing w:before="60" w:after="60"/>
              <w:rPr>
                <w:rFonts w:hint="default" w:ascii="Times New Roman" w:hAnsi="Times New Roman" w:eastAsia="仿宋" w:cs="Times New Roman"/>
                <w:sz w:val="24"/>
                <w:szCs w:val="24"/>
              </w:rPr>
            </w:pPr>
          </w:p>
        </w:tc>
        <w:tc>
          <w:tcPr>
            <w:tcW w:w="681" w:type="dxa"/>
            <w:noWrap w:val="0"/>
            <w:vAlign w:val="center"/>
          </w:tcPr>
          <w:p w14:paraId="35956C11">
            <w:pPr>
              <w:pStyle w:val="17"/>
              <w:spacing w:before="60" w:after="60"/>
              <w:rPr>
                <w:rFonts w:hint="default" w:ascii="Times New Roman" w:hAnsi="Times New Roman" w:eastAsia="仿宋" w:cs="Times New Roman"/>
                <w:sz w:val="24"/>
                <w:szCs w:val="24"/>
              </w:rPr>
            </w:pPr>
          </w:p>
        </w:tc>
        <w:tc>
          <w:tcPr>
            <w:tcW w:w="602" w:type="dxa"/>
            <w:noWrap w:val="0"/>
            <w:vAlign w:val="center"/>
          </w:tcPr>
          <w:p w14:paraId="750DC105">
            <w:pPr>
              <w:pStyle w:val="17"/>
              <w:spacing w:before="60" w:after="60"/>
              <w:rPr>
                <w:rFonts w:hint="default" w:ascii="Times New Roman" w:hAnsi="Times New Roman" w:eastAsia="仿宋" w:cs="Times New Roman"/>
                <w:sz w:val="24"/>
                <w:szCs w:val="24"/>
              </w:rPr>
            </w:pPr>
          </w:p>
        </w:tc>
        <w:tc>
          <w:tcPr>
            <w:tcW w:w="603" w:type="dxa"/>
            <w:noWrap w:val="0"/>
            <w:vAlign w:val="center"/>
          </w:tcPr>
          <w:p w14:paraId="4CDD1E08">
            <w:pPr>
              <w:pStyle w:val="17"/>
              <w:spacing w:before="60" w:after="60"/>
              <w:rPr>
                <w:rFonts w:hint="default" w:ascii="Times New Roman" w:hAnsi="Times New Roman" w:eastAsia="仿宋" w:cs="Times New Roman"/>
                <w:sz w:val="24"/>
                <w:szCs w:val="24"/>
              </w:rPr>
            </w:pPr>
          </w:p>
        </w:tc>
        <w:tc>
          <w:tcPr>
            <w:tcW w:w="1375" w:type="dxa"/>
            <w:noWrap w:val="0"/>
            <w:vAlign w:val="center"/>
          </w:tcPr>
          <w:p w14:paraId="4C87CECA">
            <w:pPr>
              <w:pStyle w:val="17"/>
              <w:spacing w:before="60" w:after="60"/>
              <w:rPr>
                <w:rFonts w:hint="default" w:ascii="Times New Roman" w:hAnsi="Times New Roman" w:eastAsia="仿宋" w:cs="Times New Roman"/>
                <w:sz w:val="24"/>
                <w:szCs w:val="24"/>
              </w:rPr>
            </w:pPr>
          </w:p>
        </w:tc>
        <w:tc>
          <w:tcPr>
            <w:tcW w:w="850" w:type="dxa"/>
            <w:noWrap w:val="0"/>
            <w:vAlign w:val="center"/>
          </w:tcPr>
          <w:p w14:paraId="3664691E">
            <w:pPr>
              <w:pStyle w:val="17"/>
              <w:spacing w:before="60" w:after="60"/>
              <w:rPr>
                <w:rFonts w:hint="default" w:ascii="Times New Roman" w:hAnsi="Times New Roman" w:eastAsia="仿宋" w:cs="Times New Roman"/>
                <w:sz w:val="24"/>
                <w:szCs w:val="24"/>
              </w:rPr>
            </w:pPr>
          </w:p>
        </w:tc>
        <w:tc>
          <w:tcPr>
            <w:tcW w:w="709" w:type="dxa"/>
            <w:noWrap w:val="0"/>
            <w:vAlign w:val="center"/>
          </w:tcPr>
          <w:p w14:paraId="60D83BAF">
            <w:pPr>
              <w:pStyle w:val="17"/>
              <w:spacing w:before="60" w:after="60"/>
              <w:rPr>
                <w:rFonts w:hint="default" w:ascii="Times New Roman" w:hAnsi="Times New Roman" w:eastAsia="仿宋" w:cs="Times New Roman"/>
                <w:sz w:val="24"/>
                <w:szCs w:val="24"/>
              </w:rPr>
            </w:pPr>
          </w:p>
        </w:tc>
        <w:tc>
          <w:tcPr>
            <w:tcW w:w="508" w:type="dxa"/>
            <w:noWrap w:val="0"/>
            <w:vAlign w:val="center"/>
          </w:tcPr>
          <w:p w14:paraId="2441B915">
            <w:pPr>
              <w:pStyle w:val="17"/>
              <w:spacing w:before="60" w:after="60"/>
              <w:rPr>
                <w:rFonts w:hint="default" w:ascii="Times New Roman" w:hAnsi="Times New Roman" w:eastAsia="仿宋" w:cs="Times New Roman"/>
                <w:sz w:val="24"/>
                <w:szCs w:val="24"/>
              </w:rPr>
            </w:pPr>
          </w:p>
        </w:tc>
        <w:tc>
          <w:tcPr>
            <w:tcW w:w="1502" w:type="dxa"/>
            <w:noWrap w:val="0"/>
            <w:vAlign w:val="center"/>
          </w:tcPr>
          <w:p w14:paraId="1B26E7C6">
            <w:pPr>
              <w:pStyle w:val="17"/>
              <w:spacing w:before="60" w:after="60"/>
              <w:rPr>
                <w:rFonts w:hint="default" w:ascii="Times New Roman" w:hAnsi="Times New Roman" w:eastAsia="仿宋" w:cs="Times New Roman"/>
                <w:sz w:val="24"/>
                <w:szCs w:val="24"/>
              </w:rPr>
            </w:pPr>
          </w:p>
        </w:tc>
      </w:tr>
      <w:tr w14:paraId="1538B5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61455CE5">
            <w:pPr>
              <w:pStyle w:val="17"/>
              <w:spacing w:before="60" w:after="60"/>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775" w:type="dxa"/>
            <w:noWrap w:val="0"/>
            <w:vAlign w:val="center"/>
          </w:tcPr>
          <w:p w14:paraId="14F54A49">
            <w:pPr>
              <w:pStyle w:val="17"/>
              <w:spacing w:before="60" w:after="60"/>
              <w:rPr>
                <w:rFonts w:hint="default" w:ascii="Times New Roman" w:hAnsi="Times New Roman" w:eastAsia="仿宋" w:cs="Times New Roman"/>
                <w:sz w:val="24"/>
                <w:szCs w:val="24"/>
              </w:rPr>
            </w:pPr>
          </w:p>
        </w:tc>
        <w:tc>
          <w:tcPr>
            <w:tcW w:w="992" w:type="dxa"/>
            <w:noWrap w:val="0"/>
            <w:vAlign w:val="center"/>
          </w:tcPr>
          <w:p w14:paraId="30B0503A">
            <w:pPr>
              <w:pStyle w:val="17"/>
              <w:spacing w:before="60" w:after="60"/>
              <w:rPr>
                <w:rFonts w:hint="default" w:ascii="Times New Roman" w:hAnsi="Times New Roman" w:eastAsia="仿宋" w:cs="Times New Roman"/>
                <w:sz w:val="24"/>
                <w:szCs w:val="24"/>
              </w:rPr>
            </w:pPr>
          </w:p>
        </w:tc>
        <w:tc>
          <w:tcPr>
            <w:tcW w:w="850" w:type="dxa"/>
            <w:noWrap w:val="0"/>
            <w:vAlign w:val="center"/>
          </w:tcPr>
          <w:p w14:paraId="35A14B1A">
            <w:pPr>
              <w:pStyle w:val="17"/>
              <w:spacing w:before="60" w:after="60"/>
              <w:rPr>
                <w:rFonts w:hint="default" w:ascii="Times New Roman" w:hAnsi="Times New Roman" w:eastAsia="仿宋" w:cs="Times New Roman"/>
                <w:sz w:val="24"/>
                <w:szCs w:val="24"/>
              </w:rPr>
            </w:pPr>
          </w:p>
        </w:tc>
        <w:tc>
          <w:tcPr>
            <w:tcW w:w="681" w:type="dxa"/>
            <w:noWrap w:val="0"/>
            <w:vAlign w:val="center"/>
          </w:tcPr>
          <w:p w14:paraId="4DF736E2">
            <w:pPr>
              <w:pStyle w:val="17"/>
              <w:spacing w:before="60" w:after="60"/>
              <w:rPr>
                <w:rFonts w:hint="default" w:ascii="Times New Roman" w:hAnsi="Times New Roman" w:eastAsia="仿宋" w:cs="Times New Roman"/>
                <w:sz w:val="24"/>
                <w:szCs w:val="24"/>
              </w:rPr>
            </w:pPr>
          </w:p>
        </w:tc>
        <w:tc>
          <w:tcPr>
            <w:tcW w:w="602" w:type="dxa"/>
            <w:noWrap w:val="0"/>
            <w:vAlign w:val="center"/>
          </w:tcPr>
          <w:p w14:paraId="1CDDB7A6">
            <w:pPr>
              <w:pStyle w:val="17"/>
              <w:spacing w:before="60" w:after="60"/>
              <w:rPr>
                <w:rFonts w:hint="default" w:ascii="Times New Roman" w:hAnsi="Times New Roman" w:eastAsia="仿宋" w:cs="Times New Roman"/>
                <w:sz w:val="24"/>
                <w:szCs w:val="24"/>
              </w:rPr>
            </w:pPr>
          </w:p>
        </w:tc>
        <w:tc>
          <w:tcPr>
            <w:tcW w:w="603" w:type="dxa"/>
            <w:noWrap w:val="0"/>
            <w:vAlign w:val="center"/>
          </w:tcPr>
          <w:p w14:paraId="0D11B3C2">
            <w:pPr>
              <w:pStyle w:val="17"/>
              <w:spacing w:before="60" w:after="60"/>
              <w:rPr>
                <w:rFonts w:hint="default" w:ascii="Times New Roman" w:hAnsi="Times New Roman" w:eastAsia="仿宋" w:cs="Times New Roman"/>
                <w:sz w:val="24"/>
                <w:szCs w:val="24"/>
              </w:rPr>
            </w:pPr>
          </w:p>
        </w:tc>
        <w:tc>
          <w:tcPr>
            <w:tcW w:w="1375" w:type="dxa"/>
            <w:noWrap w:val="0"/>
            <w:vAlign w:val="center"/>
          </w:tcPr>
          <w:p w14:paraId="2A58A8FB">
            <w:pPr>
              <w:pStyle w:val="17"/>
              <w:spacing w:before="60" w:after="60"/>
              <w:rPr>
                <w:rFonts w:hint="default" w:ascii="Times New Roman" w:hAnsi="Times New Roman" w:eastAsia="仿宋" w:cs="Times New Roman"/>
                <w:sz w:val="24"/>
                <w:szCs w:val="24"/>
              </w:rPr>
            </w:pPr>
          </w:p>
        </w:tc>
        <w:tc>
          <w:tcPr>
            <w:tcW w:w="850" w:type="dxa"/>
            <w:noWrap w:val="0"/>
            <w:vAlign w:val="center"/>
          </w:tcPr>
          <w:p w14:paraId="142B1E51">
            <w:pPr>
              <w:pStyle w:val="17"/>
              <w:spacing w:before="60" w:after="60"/>
              <w:rPr>
                <w:rFonts w:hint="default" w:ascii="Times New Roman" w:hAnsi="Times New Roman" w:eastAsia="仿宋" w:cs="Times New Roman"/>
                <w:sz w:val="24"/>
                <w:szCs w:val="24"/>
              </w:rPr>
            </w:pPr>
          </w:p>
        </w:tc>
        <w:tc>
          <w:tcPr>
            <w:tcW w:w="709" w:type="dxa"/>
            <w:noWrap w:val="0"/>
            <w:vAlign w:val="center"/>
          </w:tcPr>
          <w:p w14:paraId="32600173">
            <w:pPr>
              <w:pStyle w:val="17"/>
              <w:spacing w:before="60" w:after="60"/>
              <w:rPr>
                <w:rFonts w:hint="default" w:ascii="Times New Roman" w:hAnsi="Times New Roman" w:eastAsia="仿宋" w:cs="Times New Roman"/>
                <w:sz w:val="24"/>
                <w:szCs w:val="24"/>
              </w:rPr>
            </w:pPr>
          </w:p>
        </w:tc>
        <w:tc>
          <w:tcPr>
            <w:tcW w:w="508" w:type="dxa"/>
            <w:noWrap w:val="0"/>
            <w:vAlign w:val="center"/>
          </w:tcPr>
          <w:p w14:paraId="6B6A8864">
            <w:pPr>
              <w:pStyle w:val="17"/>
              <w:spacing w:before="60" w:after="60"/>
              <w:rPr>
                <w:rFonts w:hint="default" w:ascii="Times New Roman" w:hAnsi="Times New Roman" w:eastAsia="仿宋" w:cs="Times New Roman"/>
                <w:sz w:val="24"/>
                <w:szCs w:val="24"/>
              </w:rPr>
            </w:pPr>
          </w:p>
        </w:tc>
        <w:tc>
          <w:tcPr>
            <w:tcW w:w="1502" w:type="dxa"/>
            <w:noWrap w:val="0"/>
            <w:vAlign w:val="center"/>
          </w:tcPr>
          <w:p w14:paraId="1B204CD0">
            <w:pPr>
              <w:pStyle w:val="17"/>
              <w:spacing w:before="60" w:after="60"/>
              <w:rPr>
                <w:rFonts w:hint="default" w:ascii="Times New Roman" w:hAnsi="Times New Roman" w:eastAsia="仿宋" w:cs="Times New Roman"/>
                <w:sz w:val="24"/>
                <w:szCs w:val="24"/>
              </w:rPr>
            </w:pPr>
          </w:p>
        </w:tc>
      </w:tr>
    </w:tbl>
    <w:p w14:paraId="62297CA8">
      <w:pPr>
        <w:pStyle w:val="21"/>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注：“整改完成情况”填写①已整改、②进行中、③计划安排、④尚未制定计划，或相应编号。</w:t>
      </w:r>
    </w:p>
    <w:p w14:paraId="1EDA380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 w:cs="Times New Roman"/>
          <w:sz w:val="32"/>
          <w:szCs w:val="32"/>
        </w:rPr>
        <w:t>1.</w:t>
      </w:r>
      <w:r>
        <w:rPr>
          <w:rFonts w:hint="default" w:ascii="Times New Roman" w:hAnsi="Times New Roman" w:eastAsia="楷体_GB2312" w:cs="Times New Roman"/>
          <w:sz w:val="32"/>
          <w:szCs w:val="32"/>
        </w:rPr>
        <w:t>确定重点问题</w:t>
      </w:r>
    </w:p>
    <w:p w14:paraId="06A582E3">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在编写时，应对发现的问题进行综合分析，找出影响安全生产的重点问题，并组织专业人员共同讨论确认，在确认时应符合以下条件：</w:t>
      </w:r>
    </w:p>
    <w:p w14:paraId="73349A64">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（1）危及人身安全的问题。</w:t>
      </w:r>
    </w:p>
    <w:p w14:paraId="0734CB4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（2）有可能造成设备一类故障及以上的事故问题。</w:t>
      </w:r>
    </w:p>
    <w:p w14:paraId="0474BC7C">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（3）安全生产存在的共性问题、疑难问题。</w:t>
      </w:r>
    </w:p>
    <w:p w14:paraId="01852ED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（4）专业技术方面难以解决的问题。</w:t>
      </w:r>
    </w:p>
    <w:p w14:paraId="6D2AAF01">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（5）需要大量资金支持才能解决的问题。</w:t>
      </w:r>
    </w:p>
    <w:p w14:paraId="1154E25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（6）需要上级单位帮助协调才能解决的问题。</w:t>
      </w:r>
    </w:p>
    <w:p w14:paraId="7DA21C5E">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 w:cs="Times New Roman"/>
          <w:sz w:val="32"/>
          <w:szCs w:val="32"/>
        </w:rPr>
        <w:t>2.</w:t>
      </w:r>
      <w:r>
        <w:rPr>
          <w:rFonts w:hint="default" w:ascii="Times New Roman" w:hAnsi="Times New Roman" w:eastAsia="楷体_GB2312" w:cs="Times New Roman"/>
          <w:sz w:val="32"/>
          <w:szCs w:val="32"/>
        </w:rPr>
        <w:t>整改措施</w:t>
      </w:r>
    </w:p>
    <w:p w14:paraId="74909E3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针对存在的问题项提出整改措施，整改措施要有依据，切合实际，并具有针对性和可操作性。在编写时，主要写明以下内容：</w:t>
      </w:r>
    </w:p>
    <w:p w14:paraId="66F894F6">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（1）需要编制、补充和完善有关制度、文件等。</w:t>
      </w:r>
    </w:p>
    <w:p w14:paraId="3C393C9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（2）写明防止人身伤害的控制措施。</w:t>
      </w:r>
    </w:p>
    <w:p w14:paraId="7A191F45">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（3）写明防止设备隐患扩大的有效防范措施。</w:t>
      </w:r>
    </w:p>
    <w:p w14:paraId="18BD98E3">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（4）提出设备综合治理的措施计划和技术改造措施。</w:t>
      </w:r>
    </w:p>
    <w:p w14:paraId="044DF416">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（5）提出先进的安全生产管理理念和方法。</w:t>
      </w:r>
    </w:p>
    <w:p w14:paraId="43CAC427">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0"/>
          <w:szCs w:val="30"/>
        </w:rPr>
      </w:pPr>
      <w:r>
        <w:rPr>
          <w:rFonts w:hint="default" w:ascii="Times New Roman" w:hAnsi="Times New Roman" w:eastAsia="仿宋_GB2312" w:cs="Times New Roman"/>
          <w:sz w:val="32"/>
          <w:szCs w:val="32"/>
        </w:rPr>
        <w:t>（6）写明整改完成的时间及验收或验证的情况。</w:t>
      </w:r>
    </w:p>
    <w:p w14:paraId="719C2112">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八、自主评定结果</w:t>
      </w:r>
    </w:p>
    <w:p w14:paraId="630E903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主要写明自评结果、存在的主要问题、申请标准化达标的等级。</w:t>
      </w:r>
    </w:p>
    <w:p w14:paraId="527F8BFD">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1．自评结果</w:t>
      </w:r>
    </w:p>
    <w:p w14:paraId="2B905A62">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主要写明自评项目数、扣分项目数，列出评审核心要素得分情况，格式如表6所示。</w:t>
      </w:r>
    </w:p>
    <w:p w14:paraId="4EE35470">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rPr>
        <w:t>表6  单位自评得分总体情况表（8个一级项目）</w:t>
      </w:r>
    </w:p>
    <w:tbl>
      <w:tblPr>
        <w:tblStyle w:val="9"/>
        <w:tblW w:w="92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4"/>
        <w:gridCol w:w="2461"/>
        <w:gridCol w:w="712"/>
        <w:gridCol w:w="721"/>
        <w:gridCol w:w="721"/>
        <w:gridCol w:w="786"/>
        <w:gridCol w:w="807"/>
        <w:gridCol w:w="808"/>
        <w:gridCol w:w="674"/>
        <w:gridCol w:w="894"/>
      </w:tblGrid>
      <w:tr w14:paraId="0EDFC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restart"/>
            <w:noWrap w:val="0"/>
            <w:vAlign w:val="center"/>
          </w:tcPr>
          <w:p w14:paraId="0751D593">
            <w:pPr>
              <w:pStyle w:val="17"/>
              <w:adjustRightInd/>
              <w:spacing w:before="60" w:after="60"/>
              <w:ind w:left="-69" w:leftChars="-33" w:right="-76" w:rightChars="-36"/>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序号</w:t>
            </w:r>
          </w:p>
        </w:tc>
        <w:tc>
          <w:tcPr>
            <w:tcW w:w="2461" w:type="dxa"/>
            <w:vMerge w:val="restart"/>
            <w:noWrap w:val="0"/>
            <w:vAlign w:val="center"/>
          </w:tcPr>
          <w:p w14:paraId="775C7895">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评审项目</w:t>
            </w:r>
          </w:p>
          <w:p w14:paraId="1BA829B2">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（标准分值）</w:t>
            </w:r>
          </w:p>
        </w:tc>
        <w:tc>
          <w:tcPr>
            <w:tcW w:w="2940" w:type="dxa"/>
            <w:gridSpan w:val="4"/>
            <w:noWrap w:val="0"/>
            <w:vAlign w:val="center"/>
          </w:tcPr>
          <w:p w14:paraId="212F6560">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项目数或重点问题数（个）</w:t>
            </w:r>
          </w:p>
        </w:tc>
        <w:tc>
          <w:tcPr>
            <w:tcW w:w="3183" w:type="dxa"/>
            <w:gridSpan w:val="4"/>
            <w:noWrap w:val="0"/>
            <w:vAlign w:val="center"/>
          </w:tcPr>
          <w:p w14:paraId="42278B2D">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分值（分）及得分率（%）</w:t>
            </w:r>
          </w:p>
        </w:tc>
      </w:tr>
      <w:tr w14:paraId="1049F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noWrap w:val="0"/>
            <w:vAlign w:val="center"/>
          </w:tcPr>
          <w:p w14:paraId="52CF9715">
            <w:pPr>
              <w:pStyle w:val="17"/>
              <w:adjustRightInd/>
              <w:spacing w:before="60" w:after="60"/>
              <w:contextualSpacing/>
              <w:rPr>
                <w:rFonts w:hint="default" w:ascii="Times New Roman" w:hAnsi="Times New Roman" w:eastAsia="仿宋" w:cs="Times New Roman"/>
                <w:b/>
                <w:bCs/>
                <w:sz w:val="24"/>
                <w:szCs w:val="24"/>
              </w:rPr>
            </w:pPr>
          </w:p>
        </w:tc>
        <w:tc>
          <w:tcPr>
            <w:tcW w:w="2461" w:type="dxa"/>
            <w:vMerge w:val="continue"/>
            <w:noWrap w:val="0"/>
            <w:vAlign w:val="center"/>
          </w:tcPr>
          <w:p w14:paraId="3F55F93F">
            <w:pPr>
              <w:pStyle w:val="17"/>
              <w:adjustRightInd/>
              <w:spacing w:before="60" w:after="60"/>
              <w:contextualSpacing/>
              <w:rPr>
                <w:rFonts w:hint="default" w:ascii="Times New Roman" w:hAnsi="Times New Roman" w:eastAsia="仿宋" w:cs="Times New Roman"/>
                <w:b/>
                <w:bCs/>
                <w:sz w:val="24"/>
                <w:szCs w:val="24"/>
              </w:rPr>
            </w:pPr>
          </w:p>
        </w:tc>
        <w:tc>
          <w:tcPr>
            <w:tcW w:w="712" w:type="dxa"/>
            <w:noWrap w:val="0"/>
            <w:vAlign w:val="center"/>
          </w:tcPr>
          <w:p w14:paraId="4F30329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合理缺项</w:t>
            </w:r>
          </w:p>
        </w:tc>
        <w:tc>
          <w:tcPr>
            <w:tcW w:w="721" w:type="dxa"/>
            <w:noWrap w:val="0"/>
            <w:vAlign w:val="center"/>
          </w:tcPr>
          <w:p w14:paraId="36C41D14">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查评项</w:t>
            </w:r>
          </w:p>
        </w:tc>
        <w:tc>
          <w:tcPr>
            <w:tcW w:w="721" w:type="dxa"/>
            <w:noWrap w:val="0"/>
            <w:vAlign w:val="center"/>
          </w:tcPr>
          <w:p w14:paraId="15A9C056">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扣分项</w:t>
            </w:r>
          </w:p>
        </w:tc>
        <w:tc>
          <w:tcPr>
            <w:tcW w:w="786" w:type="dxa"/>
            <w:noWrap w:val="0"/>
            <w:vAlign w:val="center"/>
          </w:tcPr>
          <w:p w14:paraId="6E75F084">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重点问题</w:t>
            </w:r>
          </w:p>
        </w:tc>
        <w:tc>
          <w:tcPr>
            <w:tcW w:w="807" w:type="dxa"/>
            <w:noWrap w:val="0"/>
            <w:vAlign w:val="center"/>
          </w:tcPr>
          <w:p w14:paraId="56BB5ED3">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合理缺项</w:t>
            </w:r>
          </w:p>
        </w:tc>
        <w:tc>
          <w:tcPr>
            <w:tcW w:w="808" w:type="dxa"/>
            <w:noWrap w:val="0"/>
            <w:vAlign w:val="center"/>
          </w:tcPr>
          <w:p w14:paraId="32CD7CBD">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应得分</w:t>
            </w:r>
          </w:p>
        </w:tc>
        <w:tc>
          <w:tcPr>
            <w:tcW w:w="674" w:type="dxa"/>
            <w:noWrap w:val="0"/>
            <w:vAlign w:val="center"/>
          </w:tcPr>
          <w:p w14:paraId="787A8500">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实得分</w:t>
            </w:r>
          </w:p>
        </w:tc>
        <w:tc>
          <w:tcPr>
            <w:tcW w:w="894" w:type="dxa"/>
            <w:noWrap w:val="0"/>
            <w:vAlign w:val="center"/>
          </w:tcPr>
          <w:p w14:paraId="57D0E956">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得分率</w:t>
            </w:r>
          </w:p>
        </w:tc>
      </w:tr>
      <w:tr w14:paraId="4415E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0B1279F">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2461" w:type="dxa"/>
            <w:noWrap w:val="0"/>
            <w:vAlign w:val="center"/>
          </w:tcPr>
          <w:p w14:paraId="27131B7C">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目标职责（</w:t>
            </w:r>
            <w:r>
              <w:rPr>
                <w:rFonts w:hint="default" w:ascii="Times New Roman" w:hAnsi="Times New Roman" w:eastAsia="仿宋" w:cs="Times New Roman"/>
                <w:sz w:val="24"/>
                <w:szCs w:val="24"/>
                <w:lang w:val="en-US" w:eastAsia="zh-CN"/>
              </w:rPr>
              <w:t>60</w:t>
            </w:r>
            <w:r>
              <w:rPr>
                <w:rFonts w:hint="default" w:ascii="Times New Roman" w:hAnsi="Times New Roman" w:eastAsia="仿宋" w:cs="Times New Roman"/>
                <w:sz w:val="24"/>
                <w:szCs w:val="24"/>
              </w:rPr>
              <w:t>分）</w:t>
            </w:r>
          </w:p>
        </w:tc>
        <w:tc>
          <w:tcPr>
            <w:tcW w:w="712" w:type="dxa"/>
            <w:noWrap w:val="0"/>
            <w:vAlign w:val="center"/>
          </w:tcPr>
          <w:p w14:paraId="6B91FF58">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0230DA3">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0F440CFE">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7928D4CF">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EA9648A">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4B02C3CE">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DBEB62F">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5A10CE1D">
            <w:pPr>
              <w:pStyle w:val="17"/>
              <w:adjustRightInd/>
              <w:spacing w:before="60" w:after="60"/>
              <w:contextualSpacing/>
              <w:rPr>
                <w:rFonts w:hint="default" w:ascii="Times New Roman" w:hAnsi="Times New Roman" w:eastAsia="仿宋" w:cs="Times New Roman"/>
                <w:sz w:val="24"/>
                <w:szCs w:val="24"/>
              </w:rPr>
            </w:pPr>
          </w:p>
        </w:tc>
      </w:tr>
      <w:tr w14:paraId="5593B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5CDD1C34">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2461" w:type="dxa"/>
            <w:noWrap w:val="0"/>
            <w:vAlign w:val="center"/>
          </w:tcPr>
          <w:p w14:paraId="10EE30B1">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制度化管理（</w:t>
            </w:r>
            <w:r>
              <w:rPr>
                <w:rFonts w:hint="default" w:ascii="Times New Roman" w:hAnsi="Times New Roman" w:eastAsia="仿宋" w:cs="Times New Roman"/>
                <w:sz w:val="24"/>
                <w:szCs w:val="24"/>
                <w:lang w:val="en-US" w:eastAsia="zh-CN"/>
              </w:rPr>
              <w:t>70</w:t>
            </w:r>
            <w:r>
              <w:rPr>
                <w:rFonts w:hint="default" w:ascii="Times New Roman" w:hAnsi="Times New Roman" w:eastAsia="仿宋" w:cs="Times New Roman"/>
                <w:sz w:val="24"/>
                <w:szCs w:val="24"/>
              </w:rPr>
              <w:t>分）</w:t>
            </w:r>
          </w:p>
        </w:tc>
        <w:tc>
          <w:tcPr>
            <w:tcW w:w="712" w:type="dxa"/>
            <w:noWrap w:val="0"/>
            <w:vAlign w:val="center"/>
          </w:tcPr>
          <w:p w14:paraId="0822124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FAC2BB1">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5FA96F6E">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C9A3165">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10BA012">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66A9F66D">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39568B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710FD111">
            <w:pPr>
              <w:pStyle w:val="17"/>
              <w:adjustRightInd/>
              <w:spacing w:before="60" w:after="60"/>
              <w:contextualSpacing/>
              <w:rPr>
                <w:rFonts w:hint="default" w:ascii="Times New Roman" w:hAnsi="Times New Roman" w:eastAsia="仿宋" w:cs="Times New Roman"/>
                <w:sz w:val="24"/>
                <w:szCs w:val="24"/>
              </w:rPr>
            </w:pPr>
          </w:p>
        </w:tc>
      </w:tr>
      <w:tr w14:paraId="60BAD0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11947C5">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3</w:t>
            </w:r>
          </w:p>
        </w:tc>
        <w:tc>
          <w:tcPr>
            <w:tcW w:w="2461" w:type="dxa"/>
            <w:noWrap w:val="0"/>
            <w:vAlign w:val="center"/>
          </w:tcPr>
          <w:p w14:paraId="24B03215">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教育培训（</w:t>
            </w:r>
            <w:r>
              <w:rPr>
                <w:rFonts w:hint="default"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rPr>
              <w:t>0分）</w:t>
            </w:r>
          </w:p>
        </w:tc>
        <w:tc>
          <w:tcPr>
            <w:tcW w:w="712" w:type="dxa"/>
            <w:noWrap w:val="0"/>
            <w:vAlign w:val="center"/>
          </w:tcPr>
          <w:p w14:paraId="0BA25526">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E8FDDA5">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44ABF340">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3E7FCD31">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7D9303EC">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101CC31A">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574B4FE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667584F1">
            <w:pPr>
              <w:pStyle w:val="17"/>
              <w:adjustRightInd/>
              <w:spacing w:before="60" w:after="60"/>
              <w:contextualSpacing/>
              <w:rPr>
                <w:rFonts w:hint="default" w:ascii="Times New Roman" w:hAnsi="Times New Roman" w:eastAsia="仿宋" w:cs="Times New Roman"/>
                <w:sz w:val="24"/>
                <w:szCs w:val="24"/>
              </w:rPr>
            </w:pPr>
          </w:p>
        </w:tc>
      </w:tr>
      <w:tr w14:paraId="32C6B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70EA1E1">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4</w:t>
            </w:r>
          </w:p>
        </w:tc>
        <w:tc>
          <w:tcPr>
            <w:tcW w:w="2461" w:type="dxa"/>
            <w:noWrap w:val="0"/>
            <w:vAlign w:val="center"/>
          </w:tcPr>
          <w:p w14:paraId="2A05C000">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现场管理（</w:t>
            </w:r>
            <w:r>
              <w:rPr>
                <w:rFonts w:hint="default"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rPr>
              <w:t>00分）</w:t>
            </w:r>
          </w:p>
        </w:tc>
        <w:tc>
          <w:tcPr>
            <w:tcW w:w="712" w:type="dxa"/>
            <w:noWrap w:val="0"/>
            <w:vAlign w:val="center"/>
          </w:tcPr>
          <w:p w14:paraId="09E629B3">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A6D5AE6">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381170BA">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04C43C9">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324208F">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4CECE520">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5C968C6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26B790AA">
            <w:pPr>
              <w:pStyle w:val="17"/>
              <w:adjustRightInd/>
              <w:spacing w:before="60" w:after="60"/>
              <w:contextualSpacing/>
              <w:rPr>
                <w:rFonts w:hint="default" w:ascii="Times New Roman" w:hAnsi="Times New Roman" w:eastAsia="仿宋" w:cs="Times New Roman"/>
                <w:sz w:val="24"/>
                <w:szCs w:val="24"/>
              </w:rPr>
            </w:pPr>
          </w:p>
        </w:tc>
      </w:tr>
      <w:tr w14:paraId="3422C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7D766454">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5</w:t>
            </w:r>
          </w:p>
        </w:tc>
        <w:tc>
          <w:tcPr>
            <w:tcW w:w="2461" w:type="dxa"/>
            <w:noWrap w:val="0"/>
            <w:vAlign w:val="center"/>
          </w:tcPr>
          <w:p w14:paraId="7715450C">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安全风险管控及隐患排查治理（130分）</w:t>
            </w:r>
          </w:p>
        </w:tc>
        <w:tc>
          <w:tcPr>
            <w:tcW w:w="712" w:type="dxa"/>
            <w:noWrap w:val="0"/>
            <w:vAlign w:val="center"/>
          </w:tcPr>
          <w:p w14:paraId="3E815A3E">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D5AE8E7">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3A5EBDD6">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11370557">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1CE37341">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14486427">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3ED940BF">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72210F74">
            <w:pPr>
              <w:pStyle w:val="17"/>
              <w:adjustRightInd/>
              <w:spacing w:before="60" w:after="60"/>
              <w:contextualSpacing/>
              <w:rPr>
                <w:rFonts w:hint="default" w:ascii="Times New Roman" w:hAnsi="Times New Roman" w:eastAsia="仿宋" w:cs="Times New Roman"/>
                <w:sz w:val="24"/>
                <w:szCs w:val="24"/>
              </w:rPr>
            </w:pPr>
          </w:p>
        </w:tc>
      </w:tr>
      <w:tr w14:paraId="41D66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027D1A2">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6</w:t>
            </w:r>
          </w:p>
        </w:tc>
        <w:tc>
          <w:tcPr>
            <w:tcW w:w="2461" w:type="dxa"/>
            <w:noWrap w:val="0"/>
            <w:vAlign w:val="center"/>
          </w:tcPr>
          <w:p w14:paraId="57F3EAB4">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应急管理（40分）</w:t>
            </w:r>
          </w:p>
        </w:tc>
        <w:tc>
          <w:tcPr>
            <w:tcW w:w="712" w:type="dxa"/>
            <w:noWrap w:val="0"/>
            <w:vAlign w:val="center"/>
          </w:tcPr>
          <w:p w14:paraId="011785A9">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5AEB74A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00FF5EEF">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A3C1E18">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12A6F7C4">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2F971498">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6B646D0B">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651ECD41">
            <w:pPr>
              <w:pStyle w:val="17"/>
              <w:adjustRightInd/>
              <w:spacing w:before="60" w:after="60"/>
              <w:contextualSpacing/>
              <w:rPr>
                <w:rFonts w:hint="default" w:ascii="Times New Roman" w:hAnsi="Times New Roman" w:eastAsia="仿宋" w:cs="Times New Roman"/>
                <w:sz w:val="24"/>
                <w:szCs w:val="24"/>
              </w:rPr>
            </w:pPr>
          </w:p>
        </w:tc>
      </w:tr>
      <w:tr w14:paraId="5E8A3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4A40DD5">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7</w:t>
            </w:r>
          </w:p>
        </w:tc>
        <w:tc>
          <w:tcPr>
            <w:tcW w:w="2461" w:type="dxa"/>
            <w:noWrap w:val="0"/>
            <w:vAlign w:val="center"/>
          </w:tcPr>
          <w:p w14:paraId="3A910CB9">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事故管理（</w:t>
            </w:r>
            <w:r>
              <w:rPr>
                <w:rFonts w:hint="default" w:ascii="Times New Roman" w:hAnsi="Times New Roman" w:eastAsia="仿宋" w:cs="Times New Roman"/>
                <w:sz w:val="24"/>
                <w:szCs w:val="24"/>
                <w:lang w:val="en-US" w:eastAsia="zh-CN"/>
              </w:rPr>
              <w:t>2</w:t>
            </w:r>
            <w:r>
              <w:rPr>
                <w:rFonts w:hint="default" w:ascii="Times New Roman" w:hAnsi="Times New Roman" w:eastAsia="仿宋" w:cs="Times New Roman"/>
                <w:sz w:val="24"/>
                <w:szCs w:val="24"/>
              </w:rPr>
              <w:t>0分）</w:t>
            </w:r>
          </w:p>
        </w:tc>
        <w:tc>
          <w:tcPr>
            <w:tcW w:w="712" w:type="dxa"/>
            <w:noWrap w:val="0"/>
            <w:vAlign w:val="center"/>
          </w:tcPr>
          <w:p w14:paraId="6827D4DA">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FA8E4FB">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41F5CAD">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79580452">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5AB8EC67">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36DCDF2B">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460EFA7">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290B6872">
            <w:pPr>
              <w:pStyle w:val="17"/>
              <w:adjustRightInd/>
              <w:spacing w:before="60" w:after="60"/>
              <w:contextualSpacing/>
              <w:rPr>
                <w:rFonts w:hint="default" w:ascii="Times New Roman" w:hAnsi="Times New Roman" w:eastAsia="仿宋" w:cs="Times New Roman"/>
                <w:sz w:val="24"/>
                <w:szCs w:val="24"/>
              </w:rPr>
            </w:pPr>
          </w:p>
        </w:tc>
      </w:tr>
      <w:tr w14:paraId="43D52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6200E4F">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8</w:t>
            </w:r>
          </w:p>
        </w:tc>
        <w:tc>
          <w:tcPr>
            <w:tcW w:w="2461" w:type="dxa"/>
            <w:noWrap w:val="0"/>
            <w:vAlign w:val="center"/>
          </w:tcPr>
          <w:p w14:paraId="65461DCD">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持续改进（20分）</w:t>
            </w:r>
          </w:p>
        </w:tc>
        <w:tc>
          <w:tcPr>
            <w:tcW w:w="712" w:type="dxa"/>
            <w:noWrap w:val="0"/>
            <w:vAlign w:val="center"/>
          </w:tcPr>
          <w:p w14:paraId="5A6A556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BBA9935">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565D0B8">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3B6D8AD8">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374184F8">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22F3D2EE">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3D94F5C9">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17660B84">
            <w:pPr>
              <w:pStyle w:val="17"/>
              <w:adjustRightInd/>
              <w:spacing w:before="60" w:after="60"/>
              <w:contextualSpacing/>
              <w:rPr>
                <w:rFonts w:hint="default" w:ascii="Times New Roman" w:hAnsi="Times New Roman" w:eastAsia="仿宋" w:cs="Times New Roman"/>
                <w:sz w:val="24"/>
                <w:szCs w:val="24"/>
              </w:rPr>
            </w:pPr>
          </w:p>
        </w:tc>
      </w:tr>
      <w:tr w14:paraId="2A517A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35" w:type="dxa"/>
            <w:gridSpan w:val="2"/>
            <w:noWrap w:val="0"/>
            <w:vAlign w:val="center"/>
          </w:tcPr>
          <w:p w14:paraId="0FBDD1EA">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合计</w:t>
            </w:r>
          </w:p>
        </w:tc>
        <w:tc>
          <w:tcPr>
            <w:tcW w:w="712" w:type="dxa"/>
            <w:noWrap w:val="0"/>
            <w:vAlign w:val="center"/>
          </w:tcPr>
          <w:p w14:paraId="4C183FC0">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72512F9">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97FCF46">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D2B0CDE">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79131F4B">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6D3EEDD5">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65206FDB">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1494DACF">
            <w:pPr>
              <w:pStyle w:val="17"/>
              <w:adjustRightInd/>
              <w:spacing w:before="60" w:after="60"/>
              <w:contextualSpacing/>
              <w:rPr>
                <w:rFonts w:hint="default" w:ascii="Times New Roman" w:hAnsi="Times New Roman" w:eastAsia="仿宋" w:cs="Times New Roman"/>
                <w:sz w:val="24"/>
                <w:szCs w:val="24"/>
              </w:rPr>
            </w:pPr>
          </w:p>
        </w:tc>
      </w:tr>
    </w:tbl>
    <w:p w14:paraId="4254A80A">
      <w:pPr>
        <w:pStyle w:val="21"/>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注：合理缺项应得分计为零；“应得分”为扣除合理缺陷后的标准分值，应写明判定合理缺项的具体说明。</w:t>
      </w:r>
    </w:p>
    <w:p w14:paraId="614CF855">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2．列出存在的主要问题明细</w:t>
      </w:r>
    </w:p>
    <w:p w14:paraId="454CEB1F">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p>
    <w:p w14:paraId="3E0BD00A">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九、自评有关支持性文件</w:t>
      </w:r>
    </w:p>
    <w:p w14:paraId="4B40977E">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  《关于成立××水电站安全生产标准化达标工作领导小组的通知》</w:t>
      </w:r>
    </w:p>
    <w:p w14:paraId="788E2FF1">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附件2  《关于开展××水电站安全生产标准化自评工作的通知》</w:t>
      </w:r>
    </w:p>
    <w:p w14:paraId="1251758B">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附件3  《关于做好××水电站安全生产标准化问题整改工作的通知》</w:t>
      </w:r>
    </w:p>
    <w:p w14:paraId="6CBA8739">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附件4  问题整改完成情况证明材料</w:t>
      </w:r>
    </w:p>
    <w:p w14:paraId="1E092774">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其他需要补充的材料。</w:t>
      </w:r>
    </w:p>
    <w:p w14:paraId="54862B65">
      <w:pPr>
        <w:pStyle w:val="21"/>
        <w:keepNext w:val="0"/>
        <w:keepLines w:val="0"/>
        <w:pageBreakBefore w:val="0"/>
        <w:widowControl w:val="0"/>
        <w:kinsoku/>
        <w:wordWrap/>
        <w:overflowPunct/>
        <w:topLinePunct w:val="0"/>
        <w:autoSpaceDE/>
        <w:autoSpaceDN/>
        <w:bidi w:val="0"/>
        <w:spacing w:beforeLines="0" w:afterLines="0" w:line="460" w:lineRule="exact"/>
        <w:ind w:firstLine="640" w:firstLineChars="200"/>
        <w:textAlignment w:val="baseline"/>
        <w:rPr>
          <w:rFonts w:hint="default" w:ascii="Times New Roman" w:hAnsi="Times New Roman" w:eastAsia="仿宋_GB2312" w:cs="Times New Roman"/>
          <w:snapToGrid w:val="0"/>
          <w:sz w:val="32"/>
          <w:szCs w:val="32"/>
        </w:rPr>
      </w:pPr>
      <w:r>
        <w:rPr>
          <w:rFonts w:hint="default" w:ascii="Times New Roman" w:hAnsi="Times New Roman" w:eastAsia="仿宋_GB2312" w:cs="Times New Roman"/>
          <w:sz w:val="32"/>
          <w:szCs w:val="32"/>
        </w:rPr>
        <w:t>注：自评有关支持性文件列表供参考，可根据实际情况自行整理。</w:t>
      </w:r>
    </w:p>
    <w:p w14:paraId="50C0E377">
      <w:pPr>
        <w:pStyle w:val="19"/>
        <w:ind w:firstLine="480"/>
        <w:rPr>
          <w:rFonts w:hint="default" w:ascii="Times New Roman" w:hAnsi="Times New Roman" w:eastAsia="仿宋" w:cs="Times New Roman"/>
          <w:szCs w:val="24"/>
        </w:rPr>
      </w:pPr>
    </w:p>
    <w:p w14:paraId="7AADA699">
      <w:pPr>
        <w:pStyle w:val="19"/>
        <w:ind w:firstLine="480"/>
        <w:rPr>
          <w:rFonts w:hint="default" w:ascii="Times New Roman" w:hAnsi="Times New Roman" w:eastAsia="仿宋" w:cs="Times New Roman"/>
          <w:szCs w:val="24"/>
        </w:rPr>
        <w:sectPr>
          <w:headerReference r:id="rId8" w:type="first"/>
          <w:footerReference r:id="rId9" w:type="first"/>
          <w:headerReference r:id="rId7" w:type="even"/>
          <w:pgSz w:w="11906" w:h="16838"/>
          <w:pgMar w:top="2098" w:right="1531" w:bottom="1985" w:left="1531" w:header="851" w:footer="851" w:gutter="0"/>
          <w:pgNumType w:fmt="decimal"/>
          <w:cols w:space="720" w:num="1"/>
          <w:docGrid w:linePitch="435" w:charSpace="0"/>
        </w:sectPr>
      </w:pPr>
    </w:p>
    <w:p w14:paraId="12495E36">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附录C</w:t>
      </w:r>
    </w:p>
    <w:p w14:paraId="32861B5B">
      <w:pPr>
        <w:widowControl/>
        <w:spacing w:before="360" w:beforeLines="150" w:after="360" w:afterLines="150" w:line="240" w:lineRule="auto"/>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支撑性材料清单</w:t>
      </w:r>
    </w:p>
    <w:p w14:paraId="3B89810A">
      <w:pPr>
        <w:widowControl/>
        <w:spacing w:line="360" w:lineRule="auto"/>
        <w:ind w:firstLine="600" w:firstLineChars="200"/>
        <w:jc w:val="left"/>
        <w:rPr>
          <w:rFonts w:hint="default" w:ascii="Times New Roman" w:hAnsi="Times New Roman" w:eastAsia="仿宋" w:cs="Times New Roman"/>
          <w:kern w:val="0"/>
          <w:sz w:val="30"/>
          <w:szCs w:val="30"/>
        </w:rPr>
      </w:pPr>
    </w:p>
    <w:p w14:paraId="7B214B44">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申请单位合法身份证明，包括营业执照或法人证书等复印件</w:t>
      </w:r>
    </w:p>
    <w:p w14:paraId="705DF3F5">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水库大坝注册登记证复印件</w:t>
      </w:r>
    </w:p>
    <w:p w14:paraId="30DC3748">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水库大坝安全鉴定报告复印件</w:t>
      </w:r>
    </w:p>
    <w:p w14:paraId="0F9130E9">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 xml:space="preserve"> 电力业务许可证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6MW以下的水电站无需提供</w:t>
      </w:r>
      <w:r>
        <w:rPr>
          <w:rFonts w:hint="default" w:ascii="Times New Roman" w:hAnsi="Times New Roman" w:eastAsia="仿宋_GB2312" w:cs="Times New Roman"/>
          <w:sz w:val="32"/>
          <w:szCs w:val="32"/>
          <w:lang w:eastAsia="zh-CN"/>
        </w:rPr>
        <w:t>）</w:t>
      </w:r>
    </w:p>
    <w:p w14:paraId="1ADF94B5">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_GB2312" w:cs="Times New Roman"/>
          <w:sz w:val="32"/>
          <w:szCs w:val="32"/>
        </w:rPr>
        <w:t>起重设备、压力容器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行车</w:t>
      </w:r>
      <w:r>
        <w:rPr>
          <w:rFonts w:hint="default" w:ascii="Times New Roman" w:hAnsi="Times New Roman" w:eastAsia="仿宋_GB2312" w:cs="Times New Roman"/>
          <w:sz w:val="32"/>
          <w:szCs w:val="32"/>
        </w:rPr>
        <w:t>等特种设备定期检验、检测合格</w:t>
      </w:r>
      <w:r>
        <w:rPr>
          <w:rFonts w:hint="default" w:ascii="Times New Roman" w:hAnsi="Times New Roman" w:eastAsia="仿宋_GB2312" w:cs="Times New Roman"/>
          <w:sz w:val="32"/>
          <w:szCs w:val="32"/>
          <w:lang w:val="en-US" w:eastAsia="zh-CN"/>
        </w:rPr>
        <w:t>证书复印件</w:t>
      </w:r>
      <w:r>
        <w:rPr>
          <w:rFonts w:hint="default" w:ascii="Times New Roman" w:hAnsi="Times New Roman" w:eastAsia="仿宋_GB2312" w:cs="Times New Roman"/>
          <w:sz w:val="32"/>
          <w:szCs w:val="32"/>
          <w:lang w:eastAsia="zh-CN"/>
        </w:rPr>
        <w:t>；</w:t>
      </w:r>
    </w:p>
    <w:p w14:paraId="21DFC5A2">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安全生产标准化管理体系文件</w:t>
      </w:r>
    </w:p>
    <w:p w14:paraId="401246E9">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安全生产管理制度汇编；</w:t>
      </w:r>
    </w:p>
    <w:p w14:paraId="456668EE">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安全操作规程汇编；</w:t>
      </w:r>
    </w:p>
    <w:p w14:paraId="28C51CB5">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应急预案汇编。</w:t>
      </w:r>
    </w:p>
    <w:p w14:paraId="0B3E70D8">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安全生产标准化体系实施运行证明材料</w:t>
      </w:r>
    </w:p>
    <w:p w14:paraId="1437E4BE">
      <w:pPr>
        <w:pStyle w:val="19"/>
        <w:ind w:firstLine="1280" w:firstLineChars="4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_GB2312" w:cs="Times New Roman"/>
          <w:sz w:val="32"/>
          <w:szCs w:val="32"/>
        </w:rPr>
        <w:t>安全生产标准化建设工作实施方案；</w:t>
      </w:r>
    </w:p>
    <w:p w14:paraId="1E0C2791">
      <w:pPr>
        <w:pStyle w:val="19"/>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w:t>
      </w:r>
      <w:r>
        <w:rPr>
          <w:rFonts w:hint="default" w:ascii="Times New Roman" w:hAnsi="Times New Roman" w:eastAsia="仿宋_GB2312" w:cs="Times New Roman"/>
          <w:sz w:val="32"/>
          <w:szCs w:val="32"/>
        </w:rPr>
        <w:t>年度安全生产工作目标；</w:t>
      </w:r>
    </w:p>
    <w:p w14:paraId="3E16D689">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w:t>
      </w:r>
      <w:r>
        <w:rPr>
          <w:rFonts w:hint="default" w:ascii="Times New Roman" w:hAnsi="Times New Roman" w:eastAsia="仿宋_GB2312" w:cs="Times New Roman"/>
          <w:sz w:val="32"/>
          <w:szCs w:val="32"/>
        </w:rPr>
        <w:t>已签订的每个层级安全生产责任书各1套；</w:t>
      </w:r>
    </w:p>
    <w:p w14:paraId="58A2B44F">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（4）安全管理机构设立证明文件及安全管理人员任命文件；</w:t>
      </w:r>
    </w:p>
    <w:p w14:paraId="3E1178B0">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w:t>
      </w:r>
      <w:r>
        <w:rPr>
          <w:rFonts w:hint="default" w:ascii="Times New Roman" w:hAnsi="Times New Roman" w:eastAsia="仿宋_GB2312" w:cs="Times New Roman"/>
          <w:sz w:val="32"/>
          <w:szCs w:val="32"/>
        </w:rPr>
        <w:t>评审期（申请等级评审之日前一年）内安全生产委员会或安全生产领导小组的安全专题会议纪要；</w:t>
      </w:r>
    </w:p>
    <w:p w14:paraId="10EE87D1">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w:t>
      </w:r>
      <w:r>
        <w:rPr>
          <w:rFonts w:hint="default" w:ascii="Times New Roman" w:hAnsi="Times New Roman" w:eastAsia="仿宋_GB2312" w:cs="Times New Roman"/>
          <w:sz w:val="32"/>
          <w:szCs w:val="32"/>
        </w:rPr>
        <w:t>安全生产费用投入计划和年度使用情况总结报告；</w:t>
      </w:r>
    </w:p>
    <w:p w14:paraId="36BF559D">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w:t>
      </w:r>
      <w:r>
        <w:rPr>
          <w:rFonts w:hint="default" w:ascii="Times New Roman" w:hAnsi="Times New Roman" w:eastAsia="仿宋_GB2312" w:cs="Times New Roman"/>
          <w:sz w:val="32"/>
          <w:szCs w:val="32"/>
        </w:rPr>
        <w:t>年度安全教育培训计划及完成情况说明；</w:t>
      </w:r>
    </w:p>
    <w:p w14:paraId="53F3B59A">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w:t>
      </w:r>
      <w:r>
        <w:rPr>
          <w:rFonts w:hint="default" w:ascii="Times New Roman" w:hAnsi="Times New Roman" w:eastAsia="仿宋_GB2312" w:cs="Times New Roman"/>
          <w:sz w:val="32"/>
          <w:szCs w:val="32"/>
        </w:rPr>
        <w:t>主要负责人、专职安全管理人员的安全教育培训证明材料；</w:t>
      </w:r>
    </w:p>
    <w:p w14:paraId="6F720E42">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w:t>
      </w:r>
      <w:r>
        <w:rPr>
          <w:rFonts w:hint="default" w:ascii="Times New Roman" w:hAnsi="Times New Roman" w:eastAsia="仿宋_GB2312" w:cs="Times New Roman"/>
          <w:sz w:val="32"/>
          <w:szCs w:val="32"/>
        </w:rPr>
        <w:t>评审期内综合安全检查、专项安全检查有关记录资料各2套，另外提供防洪度汛专项检查1套，并提交针对检查中发现问题的完整整改记录；</w:t>
      </w:r>
    </w:p>
    <w:p w14:paraId="424AA960">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w:t>
      </w:r>
      <w:r>
        <w:rPr>
          <w:rFonts w:hint="default" w:ascii="Times New Roman" w:hAnsi="Times New Roman" w:eastAsia="仿宋_GB2312" w:cs="Times New Roman"/>
          <w:sz w:val="32"/>
          <w:szCs w:val="32"/>
        </w:rPr>
        <w:t>主要或关键设备设施法定检测情况统计表；</w:t>
      </w:r>
    </w:p>
    <w:p w14:paraId="2176502A">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（11）</w:t>
      </w:r>
      <w:r>
        <w:rPr>
          <w:rFonts w:hint="default" w:ascii="Times New Roman" w:hAnsi="Times New Roman" w:eastAsia="仿宋_GB2312" w:cs="Times New Roman"/>
          <w:sz w:val="32"/>
          <w:szCs w:val="32"/>
        </w:rPr>
        <w:t>评审期内生产安全事故应急演练完整记录材料2套，另外提供防洪度汛应急演练记录材料1套；</w:t>
      </w:r>
    </w:p>
    <w:p w14:paraId="21FFF752">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（12）</w:t>
      </w:r>
      <w:r>
        <w:rPr>
          <w:rFonts w:hint="default" w:ascii="Times New Roman" w:hAnsi="Times New Roman" w:eastAsia="仿宋_GB2312" w:cs="Times New Roman"/>
          <w:sz w:val="32"/>
          <w:szCs w:val="32"/>
        </w:rPr>
        <w:t>危险源识别与评价汇总表；</w:t>
      </w:r>
    </w:p>
    <w:p w14:paraId="302529F8">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（13）</w:t>
      </w:r>
      <w:r>
        <w:rPr>
          <w:rFonts w:hint="default" w:ascii="Times New Roman" w:hAnsi="Times New Roman" w:eastAsia="仿宋_GB2312" w:cs="Times New Roman"/>
          <w:sz w:val="32"/>
          <w:szCs w:val="32"/>
        </w:rPr>
        <w:t>体现规范化管理的现场照片10张；</w:t>
      </w:r>
    </w:p>
    <w:p w14:paraId="5F190139">
      <w:pPr>
        <w:pStyle w:val="19"/>
        <w:tabs>
          <w:tab w:val="left" w:pos="6877"/>
        </w:tabs>
        <w:ind w:firstLine="1280" w:firstLineChars="400"/>
        <w:jc w:val="left"/>
        <w:rPr>
          <w:rFonts w:hint="default" w:ascii="Times New Roman" w:hAnsi="Times New Roman" w:eastAsia="仿宋" w:cs="Times New Roman"/>
          <w:sz w:val="30"/>
          <w:szCs w:val="30"/>
        </w:rPr>
      </w:pPr>
      <w:r>
        <w:rPr>
          <w:rFonts w:hint="default" w:ascii="Times New Roman" w:hAnsi="Times New Roman" w:eastAsia="仿宋" w:cs="Times New Roman"/>
          <w:sz w:val="32"/>
          <w:szCs w:val="32"/>
        </w:rPr>
        <w:t>（14）</w:t>
      </w:r>
      <w:r>
        <w:rPr>
          <w:rFonts w:hint="default" w:ascii="Times New Roman" w:hAnsi="Times New Roman" w:eastAsia="仿宋_GB2312" w:cs="Times New Roman"/>
          <w:sz w:val="32"/>
          <w:szCs w:val="32"/>
        </w:rPr>
        <w:t>其他补充材料。</w:t>
      </w:r>
    </w:p>
    <w:bookmarkEnd w:id="13"/>
    <w:bookmarkEnd w:id="14"/>
    <w:p w14:paraId="58D0450E">
      <w:pPr>
        <w:pStyle w:val="19"/>
        <w:ind w:firstLine="1200" w:firstLineChars="400"/>
        <w:jc w:val="left"/>
        <w:rPr>
          <w:rFonts w:hint="default" w:ascii="Times New Roman" w:hAnsi="Times New Roman" w:eastAsia="仿宋" w:cs="Times New Roman"/>
          <w:sz w:val="30"/>
          <w:szCs w:val="30"/>
        </w:rPr>
        <w:sectPr>
          <w:pgSz w:w="11906" w:h="16838"/>
          <w:pgMar w:top="2098" w:right="1531" w:bottom="1985" w:left="1531" w:header="851" w:footer="851" w:gutter="0"/>
          <w:pgNumType w:fmt="decimal"/>
          <w:cols w:space="720" w:num="1"/>
          <w:docGrid w:linePitch="435" w:charSpace="0"/>
        </w:sectPr>
      </w:pPr>
    </w:p>
    <w:p w14:paraId="7A9B5075">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附录D</w:t>
      </w:r>
    </w:p>
    <w:p w14:paraId="2AE51A95">
      <w:pPr>
        <w:widowControl/>
        <w:spacing w:line="360" w:lineRule="auto"/>
        <w:ind w:firstLine="600" w:firstLineChars="200"/>
        <w:jc w:val="center"/>
        <w:rPr>
          <w:rFonts w:hint="default" w:ascii="Times New Roman" w:hAnsi="Times New Roman" w:eastAsia="黑体" w:cs="Times New Roman"/>
          <w:kern w:val="0"/>
          <w:sz w:val="30"/>
          <w:szCs w:val="30"/>
        </w:rPr>
      </w:pPr>
    </w:p>
    <w:p w14:paraId="276A0DCD">
      <w:pPr>
        <w:widowControl/>
        <w:spacing w:line="360" w:lineRule="auto"/>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承  诺  书</w:t>
      </w:r>
    </w:p>
    <w:p w14:paraId="7E42E5E2">
      <w:pPr>
        <w:widowControl/>
        <w:spacing w:line="360" w:lineRule="auto"/>
        <w:jc w:val="center"/>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首次申报格式</w:t>
      </w:r>
      <w:r>
        <w:rPr>
          <w:rFonts w:hint="default" w:ascii="Times New Roman" w:hAnsi="Times New Roman" w:eastAsia="仿宋_GB2312" w:cs="Times New Roman"/>
          <w:sz w:val="32"/>
          <w:szCs w:val="32"/>
          <w:lang w:eastAsia="zh-CN"/>
        </w:rPr>
        <w:t>）</w:t>
      </w:r>
    </w:p>
    <w:p w14:paraId="6E8D71A1">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我单位就申请</w:t>
      </w:r>
      <w:r>
        <w:rPr>
          <w:rFonts w:hint="default" w:ascii="Times New Roman" w:hAnsi="Times New Roman" w:eastAsia="仿宋_GB2312" w:cs="Times New Roman"/>
          <w:sz w:val="32"/>
          <w:lang w:val="en-US" w:eastAsia="zh-CN"/>
        </w:rPr>
        <w:t>小型</w:t>
      </w:r>
      <w:r>
        <w:rPr>
          <w:rFonts w:hint="default" w:ascii="Times New Roman" w:hAnsi="Times New Roman" w:eastAsia="仿宋_GB2312" w:cs="Times New Roman"/>
          <w:sz w:val="32"/>
        </w:rPr>
        <w:t>水电站安全生产标准化达标评审事项，作出以下承诺：</w:t>
      </w:r>
    </w:p>
    <w:p w14:paraId="605AA106">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一、我单位符合</w:t>
      </w:r>
      <w:r>
        <w:rPr>
          <w:rFonts w:hint="default" w:ascii="Times New Roman" w:hAnsi="Times New Roman" w:eastAsia="仿宋_GB2312" w:cs="Times New Roman"/>
          <w:kern w:val="0"/>
          <w:sz w:val="32"/>
        </w:rPr>
        <w:t>《小型水电站安全生产标准化评审细则》</w:t>
      </w:r>
      <w:r>
        <w:rPr>
          <w:rFonts w:hint="default" w:ascii="Times New Roman" w:hAnsi="Times New Roman" w:eastAsia="仿宋_GB2312" w:cs="Times New Roman"/>
          <w:kern w:val="0"/>
          <w:sz w:val="32"/>
          <w:lang w:val="en-US" w:eastAsia="zh-CN"/>
        </w:rPr>
        <w:t>第二条</w:t>
      </w:r>
      <w:r>
        <w:rPr>
          <w:rFonts w:hint="default" w:ascii="Times New Roman" w:hAnsi="Times New Roman" w:eastAsia="仿宋_GB2312" w:cs="Times New Roman"/>
          <w:sz w:val="32"/>
        </w:rPr>
        <w:t>所规定的基本条件。</w:t>
      </w:r>
    </w:p>
    <w:p w14:paraId="5287305B">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二、所提交的各类材料（文件、资料、证照等）均真实、合法、有效，复印件与原件一致。</w:t>
      </w:r>
    </w:p>
    <w:p w14:paraId="42142A9B">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三、愿意随时接受相关的现场核查，对存在的问题按照要求及时整改。</w:t>
      </w:r>
    </w:p>
    <w:p w14:paraId="310E9285">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四、愿意自行承担违反承诺的法律责任，并接受相关的处理。</w:t>
      </w:r>
    </w:p>
    <w:p w14:paraId="3B7AF75C">
      <w:pPr>
        <w:pStyle w:val="19"/>
        <w:ind w:firstLine="640"/>
        <w:rPr>
          <w:rFonts w:hint="default" w:ascii="Times New Roman" w:hAnsi="Times New Roman" w:eastAsia="仿宋_GB2312" w:cs="Times New Roman"/>
          <w:sz w:val="32"/>
        </w:rPr>
      </w:pPr>
    </w:p>
    <w:p w14:paraId="43D0D2C8">
      <w:pPr>
        <w:pStyle w:val="19"/>
        <w:ind w:firstLine="640"/>
        <w:rPr>
          <w:rFonts w:hint="default" w:ascii="Times New Roman" w:hAnsi="Times New Roman" w:eastAsia="仿宋_GB2312" w:cs="Times New Roman"/>
          <w:sz w:val="32"/>
        </w:rPr>
      </w:pPr>
    </w:p>
    <w:p w14:paraId="2114514F">
      <w:pPr>
        <w:pStyle w:val="19"/>
        <w:ind w:firstLine="640"/>
        <w:rPr>
          <w:rFonts w:hint="default" w:ascii="Times New Roman" w:hAnsi="Times New Roman" w:eastAsia="仿宋_GB2312" w:cs="Times New Roman"/>
          <w:sz w:val="32"/>
        </w:rPr>
      </w:pPr>
    </w:p>
    <w:bookmarkEnd w:id="15"/>
    <w:p w14:paraId="6CC01A95">
      <w:pPr>
        <w:kinsoku w:val="0"/>
        <w:overflowPunct w:val="0"/>
        <w:spacing w:line="560" w:lineRule="exact"/>
        <w:jc w:val="left"/>
        <w:textAlignment w:val="baseline"/>
        <w:rPr>
          <w:rFonts w:hint="default" w:ascii="Times New Roman" w:hAnsi="Times New Roman" w:eastAsia="仿宋_GB2312" w:cs="Times New Roman"/>
          <w:sz w:val="36"/>
          <w:szCs w:val="36"/>
          <w:lang w:val="zh-Hans" w:eastAsia="zh-Hans"/>
        </w:rPr>
      </w:pPr>
    </w:p>
    <w:p w14:paraId="79D6514D">
      <w:pPr>
        <w:pStyle w:val="19"/>
        <w:ind w:firstLine="4800" w:firstLineChars="1500"/>
        <w:rPr>
          <w:rFonts w:hint="default" w:ascii="Times New Roman" w:hAnsi="Times New Roman" w:eastAsia="仿宋_GB2312" w:cs="Times New Roman"/>
          <w:sz w:val="32"/>
        </w:rPr>
      </w:pPr>
      <w:r>
        <w:rPr>
          <w:rFonts w:hint="default" w:ascii="Times New Roman" w:hAnsi="Times New Roman" w:eastAsia="仿宋_GB2312" w:cs="Times New Roman"/>
          <w:sz w:val="32"/>
        </w:rPr>
        <w:t>单位名称（盖章）：</w:t>
      </w:r>
    </w:p>
    <w:p w14:paraId="067C0495">
      <w:pPr>
        <w:pStyle w:val="19"/>
        <w:ind w:firstLine="4800" w:firstLineChars="1500"/>
        <w:rPr>
          <w:rFonts w:hint="default" w:ascii="Times New Roman" w:hAnsi="Times New Roman" w:eastAsia="仿宋_GB2312" w:cs="Times New Roman"/>
          <w:sz w:val="32"/>
        </w:rPr>
      </w:pPr>
      <w:r>
        <w:rPr>
          <w:rFonts w:hint="default" w:ascii="Times New Roman" w:hAnsi="Times New Roman" w:eastAsia="仿宋_GB2312" w:cs="Times New Roman"/>
          <w:sz w:val="32"/>
        </w:rPr>
        <w:t>法定代表人签名：</w:t>
      </w:r>
    </w:p>
    <w:p w14:paraId="711A93A1">
      <w:pPr>
        <w:kinsoku w:val="0"/>
        <w:overflowPunct w:val="0"/>
        <w:spacing w:line="560" w:lineRule="exact"/>
        <w:ind w:firstLine="4160" w:firstLineChars="1300"/>
        <w:textAlignment w:val="baseline"/>
        <w:rPr>
          <w:rFonts w:hint="default" w:ascii="Times New Roman" w:hAnsi="Times New Roman" w:eastAsia="仿宋_GB2312" w:cs="Times New Roman"/>
          <w:sz w:val="36"/>
          <w:szCs w:val="36"/>
          <w:lang w:val="zh-Hans" w:eastAsia="zh-Hans"/>
        </w:rPr>
      </w:pPr>
      <w:r>
        <w:rPr>
          <w:rFonts w:hint="default" w:ascii="Times New Roman" w:hAnsi="Times New Roman" w:eastAsia="仿宋_GB2312" w:cs="Times New Roman"/>
          <w:sz w:val="32"/>
        </w:rPr>
        <w:t xml:space="preserve">     </w:t>
      </w:r>
      <w:r>
        <w:rPr>
          <w:rFonts w:hint="default" w:ascii="Times New Roman" w:hAnsi="Times New Roman" w:eastAsia="仿宋_GB2312" w:cs="Times New Roman"/>
          <w:sz w:val="32"/>
          <w:lang w:val="en-US" w:eastAsia="zh-CN"/>
        </w:rPr>
        <w:t xml:space="preserve"> </w:t>
      </w:r>
      <w:r>
        <w:rPr>
          <w:rFonts w:hint="default" w:ascii="Times New Roman" w:hAnsi="Times New Roman" w:eastAsia="仿宋_GB2312" w:cs="Times New Roman"/>
          <w:sz w:val="32"/>
        </w:rPr>
        <w:t xml:space="preserve"> 年    月    日</w:t>
      </w:r>
    </w:p>
    <w:p w14:paraId="5295B57B">
      <w:pPr>
        <w:pStyle w:val="19"/>
        <w:ind w:firstLine="640"/>
        <w:rPr>
          <w:rFonts w:hint="default" w:ascii="Times New Roman" w:hAnsi="Times New Roman" w:eastAsia="仿宋_GB2312" w:cs="Times New Roman"/>
          <w:sz w:val="32"/>
        </w:rPr>
      </w:pPr>
    </w:p>
    <w:p w14:paraId="4C4F2A7F">
      <w:pPr>
        <w:pStyle w:val="19"/>
        <w:spacing w:line="560" w:lineRule="exact"/>
        <w:ind w:firstLine="198" w:firstLineChars="53"/>
        <w:rPr>
          <w:rFonts w:hint="default" w:ascii="Times New Roman" w:hAnsi="Times New Roman" w:eastAsia="黑体" w:cs="Times New Roman"/>
          <w:spacing w:val="27"/>
          <w:sz w:val="32"/>
          <w:lang w:val="en-US" w:eastAsia="zh-CN"/>
        </w:rPr>
      </w:pPr>
      <w:r>
        <w:rPr>
          <w:rFonts w:hint="default" w:ascii="Times New Roman" w:hAnsi="Times New Roman" w:eastAsia="黑体" w:cs="Times New Roman"/>
          <w:spacing w:val="27"/>
          <w:sz w:val="32"/>
          <w:lang w:val="en-US" w:eastAsia="zh-CN"/>
        </w:rPr>
        <w:t>附录F</w:t>
      </w:r>
    </w:p>
    <w:tbl>
      <w:tblPr>
        <w:tblStyle w:val="9"/>
        <w:tblpPr w:leftFromText="180" w:rightFromText="180" w:vertAnchor="text" w:horzAnchor="page" w:tblpX="1521" w:tblpY="801"/>
        <w:tblOverlap w:val="never"/>
        <w:tblW w:w="9139" w:type="dxa"/>
        <w:tblInd w:w="0" w:type="dxa"/>
        <w:tblLayout w:type="fixed"/>
        <w:tblCellMar>
          <w:top w:w="0" w:type="dxa"/>
          <w:left w:w="0" w:type="dxa"/>
          <w:bottom w:w="0" w:type="dxa"/>
          <w:right w:w="0" w:type="dxa"/>
        </w:tblCellMar>
      </w:tblPr>
      <w:tblGrid>
        <w:gridCol w:w="1740"/>
        <w:gridCol w:w="1533"/>
        <w:gridCol w:w="1387"/>
        <w:gridCol w:w="1533"/>
        <w:gridCol w:w="1396"/>
        <w:gridCol w:w="1550"/>
      </w:tblGrid>
      <w:tr w14:paraId="3E8F9F1B">
        <w:tblPrEx>
          <w:tblCellMar>
            <w:top w:w="0" w:type="dxa"/>
            <w:left w:w="0" w:type="dxa"/>
            <w:bottom w:w="0" w:type="dxa"/>
            <w:right w:w="0" w:type="dxa"/>
          </w:tblCellMar>
        </w:tblPrEx>
        <w:trPr>
          <w:trHeight w:val="455"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07597E68">
            <w:pPr>
              <w:kinsoku w:val="0"/>
              <w:overflowPunct w:val="0"/>
              <w:spacing w:before="99" w:line="323"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单位名称</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6FD9F3C7">
            <w:pPr>
              <w:kinsoku w:val="0"/>
              <w:overflowPunct w:val="0"/>
              <w:textAlignment w:val="baseline"/>
              <w:rPr>
                <w:rFonts w:hint="default" w:ascii="Times New Roman" w:hAnsi="Times New Roman" w:eastAsia="仿宋" w:cs="Times New Roman"/>
                <w:sz w:val="28"/>
                <w:szCs w:val="28"/>
                <w:lang w:eastAsia="en-US"/>
              </w:rPr>
            </w:pPr>
          </w:p>
        </w:tc>
      </w:tr>
      <w:tr w14:paraId="7D9387D5">
        <w:tblPrEx>
          <w:tblCellMar>
            <w:top w:w="0" w:type="dxa"/>
            <w:left w:w="0" w:type="dxa"/>
            <w:bottom w:w="0" w:type="dxa"/>
            <w:right w:w="0" w:type="dxa"/>
          </w:tblCellMar>
        </w:tblPrEx>
        <w:trPr>
          <w:trHeight w:val="455"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142660FC">
            <w:pPr>
              <w:tabs>
                <w:tab w:val="left" w:pos="1152"/>
              </w:tabs>
              <w:kinsoku w:val="0"/>
              <w:overflowPunct w:val="0"/>
              <w:spacing w:before="90" w:line="33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地    址</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05D46B60">
            <w:pPr>
              <w:kinsoku w:val="0"/>
              <w:overflowPunct w:val="0"/>
              <w:textAlignment w:val="baseline"/>
              <w:rPr>
                <w:rFonts w:hint="default" w:ascii="Times New Roman" w:hAnsi="Times New Roman" w:eastAsia="仿宋" w:cs="Times New Roman"/>
                <w:sz w:val="28"/>
                <w:szCs w:val="28"/>
                <w:lang w:eastAsia="en-US"/>
              </w:rPr>
            </w:pPr>
          </w:p>
        </w:tc>
      </w:tr>
      <w:tr w14:paraId="757CCB57">
        <w:tblPrEx>
          <w:tblCellMar>
            <w:top w:w="0" w:type="dxa"/>
            <w:left w:w="0" w:type="dxa"/>
            <w:bottom w:w="0" w:type="dxa"/>
            <w:right w:w="0" w:type="dxa"/>
          </w:tblCellMar>
        </w:tblPrEx>
        <w:trPr>
          <w:trHeight w:val="641"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33C7D391">
            <w:pPr>
              <w:kinsoku w:val="0"/>
              <w:overflowPunct w:val="0"/>
              <w:spacing w:before="96" w:line="32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单位性质</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49DBBC77">
            <w:pPr>
              <w:kinsoku w:val="0"/>
              <w:overflowPunct w:val="0"/>
              <w:textAlignment w:val="baseline"/>
              <w:rPr>
                <w:rFonts w:hint="default" w:ascii="Times New Roman" w:hAnsi="Times New Roman" w:eastAsia="仿宋" w:cs="Times New Roman"/>
                <w:sz w:val="28"/>
                <w:szCs w:val="28"/>
                <w:lang w:eastAsia="en-US"/>
              </w:rPr>
            </w:pPr>
          </w:p>
        </w:tc>
      </w:tr>
      <w:tr w14:paraId="61D5EAE5">
        <w:tblPrEx>
          <w:tblCellMar>
            <w:top w:w="0" w:type="dxa"/>
            <w:left w:w="0" w:type="dxa"/>
            <w:bottom w:w="0" w:type="dxa"/>
            <w:right w:w="0" w:type="dxa"/>
          </w:tblCellMar>
        </w:tblPrEx>
        <w:trPr>
          <w:trHeight w:val="779"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284B01C9">
            <w:pPr>
              <w:kinsoku w:val="0"/>
              <w:overflowPunct w:val="0"/>
              <w:spacing w:before="212" w:after="180"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职工总数</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65077C5A">
            <w:pPr>
              <w:kinsoku w:val="0"/>
              <w:overflowPunct w:val="0"/>
              <w:spacing w:before="238" w:after="154" w:line="346" w:lineRule="exact"/>
              <w:ind w:right="125"/>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c>
          <w:tcPr>
            <w:tcW w:w="1387" w:type="dxa"/>
            <w:tcBorders>
              <w:top w:val="single" w:color="auto" w:sz="4" w:space="0"/>
              <w:left w:val="single" w:color="auto" w:sz="4" w:space="0"/>
              <w:bottom w:val="single" w:color="auto" w:sz="4" w:space="0"/>
              <w:right w:val="single" w:color="auto" w:sz="4" w:space="0"/>
            </w:tcBorders>
            <w:noWrap w:val="0"/>
            <w:vAlign w:val="top"/>
          </w:tcPr>
          <w:p w14:paraId="61D696E5">
            <w:pPr>
              <w:kinsoku w:val="0"/>
              <w:overflowPunct w:val="0"/>
              <w:spacing w:line="365"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专职安全</w:t>
            </w:r>
          </w:p>
          <w:p w14:paraId="134F397F">
            <w:pPr>
              <w:kinsoku w:val="0"/>
              <w:overflowPunct w:val="0"/>
              <w:spacing w:line="365"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管理人员</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7FBE8EAF">
            <w:pPr>
              <w:kinsoku w:val="0"/>
              <w:overflowPunct w:val="0"/>
              <w:spacing w:before="228" w:after="164" w:line="346" w:lineRule="exact"/>
              <w:ind w:right="125"/>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c>
          <w:tcPr>
            <w:tcW w:w="1396" w:type="dxa"/>
            <w:tcBorders>
              <w:top w:val="single" w:color="auto" w:sz="4" w:space="0"/>
              <w:left w:val="single" w:color="auto" w:sz="4" w:space="0"/>
              <w:bottom w:val="single" w:color="auto" w:sz="4" w:space="0"/>
              <w:right w:val="single" w:color="auto" w:sz="4" w:space="0"/>
            </w:tcBorders>
            <w:noWrap w:val="0"/>
            <w:vAlign w:val="top"/>
          </w:tcPr>
          <w:p w14:paraId="5E674BC4">
            <w:pPr>
              <w:kinsoku w:val="0"/>
              <w:overflowPunct w:val="0"/>
              <w:spacing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特种作业</w:t>
            </w:r>
          </w:p>
          <w:p w14:paraId="060C343D">
            <w:pPr>
              <w:tabs>
                <w:tab w:val="left" w:pos="1008"/>
              </w:tabs>
              <w:kinsoku w:val="0"/>
              <w:overflowPunct w:val="0"/>
              <w:spacing w:before="19" w:after="4"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人</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员</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5C41DDAB">
            <w:pPr>
              <w:kinsoku w:val="0"/>
              <w:overflowPunct w:val="0"/>
              <w:spacing w:before="224" w:after="168" w:line="346" w:lineRule="exact"/>
              <w:ind w:right="139"/>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r>
      <w:tr w14:paraId="7F24AED9">
        <w:tblPrEx>
          <w:tblCellMar>
            <w:top w:w="0" w:type="dxa"/>
            <w:left w:w="0" w:type="dxa"/>
            <w:bottom w:w="0" w:type="dxa"/>
            <w:right w:w="0" w:type="dxa"/>
          </w:tblCellMar>
        </w:tblPrEx>
        <w:trPr>
          <w:trHeight w:val="598"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4D186210">
            <w:pPr>
              <w:kinsoku w:val="0"/>
              <w:overflowPunct w:val="0"/>
              <w:spacing w:before="67" w:line="33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法定代表人</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2CBD6E05">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50918F09">
            <w:pPr>
              <w:kinsoku w:val="0"/>
              <w:overflowPunct w:val="0"/>
              <w:spacing w:before="65" w:line="338"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 话</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075FEBCA">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39CE0DC0">
            <w:pPr>
              <w:tabs>
                <w:tab w:val="right" w:pos="1224"/>
              </w:tabs>
              <w:kinsoku w:val="0"/>
              <w:overflowPunct w:val="0"/>
              <w:spacing w:before="75" w:line="328"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传</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真</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7924DBC6">
            <w:pPr>
              <w:kinsoku w:val="0"/>
              <w:overflowPunct w:val="0"/>
              <w:textAlignment w:val="baseline"/>
              <w:rPr>
                <w:rFonts w:hint="default" w:ascii="Times New Roman" w:hAnsi="Times New Roman" w:eastAsia="仿宋" w:cs="Times New Roman"/>
                <w:sz w:val="28"/>
                <w:szCs w:val="28"/>
                <w:lang w:eastAsia="en-US"/>
              </w:rPr>
            </w:pPr>
          </w:p>
        </w:tc>
      </w:tr>
      <w:tr w14:paraId="3BDF6FC5">
        <w:tblPrEx>
          <w:tblCellMar>
            <w:top w:w="0" w:type="dxa"/>
            <w:left w:w="0" w:type="dxa"/>
            <w:bottom w:w="0" w:type="dxa"/>
            <w:right w:w="0" w:type="dxa"/>
          </w:tblCellMar>
        </w:tblPrEx>
        <w:trPr>
          <w:cantSplit/>
          <w:trHeight w:val="579" w:hRule="exact"/>
        </w:trPr>
        <w:tc>
          <w:tcPr>
            <w:tcW w:w="1740" w:type="dxa"/>
            <w:vMerge w:val="restart"/>
            <w:tcBorders>
              <w:top w:val="single" w:color="auto" w:sz="4" w:space="0"/>
              <w:left w:val="single" w:color="auto" w:sz="4" w:space="0"/>
              <w:bottom w:val="nil"/>
              <w:right w:val="single" w:color="auto" w:sz="4" w:space="0"/>
            </w:tcBorders>
            <w:noWrap w:val="0"/>
            <w:vAlign w:val="center"/>
          </w:tcPr>
          <w:p w14:paraId="7388548F">
            <w:pPr>
              <w:kinsoku w:val="0"/>
              <w:overflowPunct w:val="0"/>
              <w:spacing w:before="286" w:after="198"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联 系 人</w:t>
            </w:r>
          </w:p>
        </w:tc>
        <w:tc>
          <w:tcPr>
            <w:tcW w:w="1533" w:type="dxa"/>
            <w:vMerge w:val="restart"/>
            <w:tcBorders>
              <w:top w:val="single" w:color="auto" w:sz="4" w:space="0"/>
              <w:left w:val="single" w:color="auto" w:sz="4" w:space="0"/>
              <w:bottom w:val="nil"/>
              <w:right w:val="single" w:color="auto" w:sz="4" w:space="0"/>
            </w:tcBorders>
            <w:noWrap w:val="0"/>
            <w:vAlign w:val="top"/>
          </w:tcPr>
          <w:p w14:paraId="38D2D1C8">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2E39D85B">
            <w:pPr>
              <w:kinsoku w:val="0"/>
              <w:overflowPunct w:val="0"/>
              <w:spacing w:before="70"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 话</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4006F1D9">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103039C5">
            <w:pPr>
              <w:tabs>
                <w:tab w:val="right" w:pos="1224"/>
              </w:tabs>
              <w:kinsoku w:val="0"/>
              <w:overflowPunct w:val="0"/>
              <w:spacing w:before="83" w:line="329"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传</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真</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39D33540">
            <w:pPr>
              <w:kinsoku w:val="0"/>
              <w:overflowPunct w:val="0"/>
              <w:textAlignment w:val="baseline"/>
              <w:rPr>
                <w:rFonts w:hint="default" w:ascii="Times New Roman" w:hAnsi="Times New Roman" w:eastAsia="仿宋" w:cs="Times New Roman"/>
                <w:sz w:val="28"/>
                <w:szCs w:val="28"/>
                <w:lang w:eastAsia="en-US"/>
              </w:rPr>
            </w:pPr>
          </w:p>
        </w:tc>
      </w:tr>
      <w:tr w14:paraId="6588D8F2">
        <w:tblPrEx>
          <w:tblCellMar>
            <w:top w:w="0" w:type="dxa"/>
            <w:left w:w="0" w:type="dxa"/>
            <w:bottom w:w="0" w:type="dxa"/>
            <w:right w:w="0" w:type="dxa"/>
          </w:tblCellMar>
        </w:tblPrEx>
        <w:trPr>
          <w:cantSplit/>
          <w:trHeight w:val="531" w:hRule="atLeast"/>
        </w:trPr>
        <w:tc>
          <w:tcPr>
            <w:tcW w:w="1740" w:type="dxa"/>
            <w:vMerge w:val="continue"/>
            <w:tcBorders>
              <w:top w:val="nil"/>
              <w:left w:val="single" w:color="auto" w:sz="4" w:space="0"/>
              <w:bottom w:val="single" w:color="auto" w:sz="4" w:space="0"/>
              <w:right w:val="single" w:color="auto" w:sz="4" w:space="0"/>
            </w:tcBorders>
            <w:noWrap w:val="0"/>
            <w:vAlign w:val="center"/>
          </w:tcPr>
          <w:p w14:paraId="65CE422C">
            <w:pPr>
              <w:kinsoku w:val="0"/>
              <w:overflowPunct w:val="0"/>
              <w:textAlignment w:val="baseline"/>
              <w:rPr>
                <w:rFonts w:hint="default" w:ascii="Times New Roman" w:hAnsi="Times New Roman" w:eastAsia="仿宋" w:cs="Times New Roman"/>
                <w:sz w:val="28"/>
                <w:szCs w:val="28"/>
                <w:lang w:eastAsia="en-US"/>
              </w:rPr>
            </w:pPr>
          </w:p>
        </w:tc>
        <w:tc>
          <w:tcPr>
            <w:tcW w:w="1533" w:type="dxa"/>
            <w:vMerge w:val="continue"/>
            <w:tcBorders>
              <w:top w:val="nil"/>
              <w:left w:val="single" w:color="auto" w:sz="4" w:space="0"/>
              <w:bottom w:val="single" w:color="auto" w:sz="4" w:space="0"/>
              <w:right w:val="single" w:color="auto" w:sz="4" w:space="0"/>
            </w:tcBorders>
            <w:noWrap w:val="0"/>
            <w:vAlign w:val="top"/>
          </w:tcPr>
          <w:p w14:paraId="142E54BD">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B81E3F0">
            <w:pPr>
              <w:kinsoku w:val="0"/>
              <w:overflowPunct w:val="0"/>
              <w:spacing w:before="86" w:line="331"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手 机</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4723171C">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5D107B3B">
            <w:pPr>
              <w:kinsoku w:val="0"/>
              <w:overflowPunct w:val="0"/>
              <w:spacing w:before="75"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电子信箱</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225E8742">
            <w:pPr>
              <w:kinsoku w:val="0"/>
              <w:overflowPunct w:val="0"/>
              <w:textAlignment w:val="baseline"/>
              <w:rPr>
                <w:rFonts w:hint="default" w:ascii="Times New Roman" w:hAnsi="Times New Roman" w:eastAsia="仿宋" w:cs="Times New Roman"/>
                <w:sz w:val="28"/>
                <w:szCs w:val="28"/>
                <w:lang w:eastAsia="en-US"/>
              </w:rPr>
            </w:pPr>
          </w:p>
        </w:tc>
      </w:tr>
      <w:tr w14:paraId="22259519">
        <w:tblPrEx>
          <w:tblCellMar>
            <w:top w:w="0" w:type="dxa"/>
            <w:left w:w="0" w:type="dxa"/>
            <w:bottom w:w="0" w:type="dxa"/>
            <w:right w:w="0" w:type="dxa"/>
          </w:tblCellMar>
        </w:tblPrEx>
        <w:trPr>
          <w:trHeight w:val="876" w:hRule="exact"/>
        </w:trPr>
        <w:tc>
          <w:tcPr>
            <w:tcW w:w="1740" w:type="dxa"/>
            <w:tcBorders>
              <w:top w:val="single" w:color="auto" w:sz="4" w:space="0"/>
              <w:left w:val="single" w:color="auto" w:sz="4" w:space="0"/>
              <w:bottom w:val="single" w:color="auto" w:sz="4" w:space="0"/>
              <w:right w:val="single" w:color="auto" w:sz="4" w:space="0"/>
            </w:tcBorders>
            <w:noWrap w:val="0"/>
            <w:vAlign w:val="top"/>
          </w:tcPr>
          <w:p w14:paraId="6074CB8C">
            <w:pPr>
              <w:kinsoku w:val="0"/>
              <w:overflowPunct w:val="0"/>
              <w:spacing w:line="412"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安全监管</w:t>
            </w:r>
          </w:p>
          <w:p w14:paraId="2AC9CA78">
            <w:pPr>
              <w:kinsoku w:val="0"/>
              <w:overflowPunct w:val="0"/>
              <w:spacing w:line="41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    位</w:t>
            </w:r>
          </w:p>
        </w:tc>
        <w:tc>
          <w:tcPr>
            <w:tcW w:w="2920" w:type="dxa"/>
            <w:gridSpan w:val="2"/>
            <w:tcBorders>
              <w:top w:val="single" w:color="auto" w:sz="4" w:space="0"/>
              <w:left w:val="single" w:color="auto" w:sz="4" w:space="0"/>
              <w:bottom w:val="single" w:color="auto" w:sz="4" w:space="0"/>
              <w:right w:val="single" w:color="auto" w:sz="4" w:space="0"/>
            </w:tcBorders>
            <w:noWrap w:val="0"/>
            <w:vAlign w:val="top"/>
          </w:tcPr>
          <w:p w14:paraId="29F79717">
            <w:pPr>
              <w:kinsoku w:val="0"/>
              <w:overflowPunct w:val="0"/>
              <w:textAlignment w:val="baseline"/>
              <w:rPr>
                <w:rFonts w:hint="default" w:ascii="Times New Roman" w:hAnsi="Times New Roman" w:eastAsia="仿宋" w:cs="Times New Roman"/>
                <w:sz w:val="28"/>
                <w:szCs w:val="28"/>
                <w:lang w:eastAsia="en-US"/>
              </w:rPr>
            </w:pPr>
          </w:p>
        </w:tc>
        <w:tc>
          <w:tcPr>
            <w:tcW w:w="1533" w:type="dxa"/>
            <w:tcBorders>
              <w:top w:val="single" w:color="auto" w:sz="4" w:space="0"/>
              <w:left w:val="single" w:color="auto" w:sz="4" w:space="0"/>
              <w:bottom w:val="single" w:color="auto" w:sz="4" w:space="0"/>
              <w:right w:val="single" w:color="auto" w:sz="4" w:space="0"/>
            </w:tcBorders>
            <w:noWrap w:val="0"/>
            <w:vAlign w:val="top"/>
          </w:tcPr>
          <w:p w14:paraId="71D0941F">
            <w:pPr>
              <w:kinsoku w:val="0"/>
              <w:overflowPunct w:val="0"/>
              <w:spacing w:before="65" w:after="42" w:line="359"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监管责任</w:t>
            </w:r>
          </w:p>
          <w:p w14:paraId="7BE19A54">
            <w:pPr>
              <w:kinsoku w:val="0"/>
              <w:overflowPunct w:val="0"/>
              <w:spacing w:before="65" w:after="42" w:line="359"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人及职务</w:t>
            </w:r>
          </w:p>
        </w:tc>
        <w:tc>
          <w:tcPr>
            <w:tcW w:w="2946" w:type="dxa"/>
            <w:gridSpan w:val="2"/>
            <w:tcBorders>
              <w:top w:val="single" w:color="auto" w:sz="4" w:space="0"/>
              <w:left w:val="single" w:color="auto" w:sz="4" w:space="0"/>
              <w:bottom w:val="single" w:color="auto" w:sz="4" w:space="0"/>
              <w:right w:val="single" w:color="auto" w:sz="4" w:space="0"/>
            </w:tcBorders>
            <w:noWrap w:val="0"/>
            <w:vAlign w:val="top"/>
          </w:tcPr>
          <w:p w14:paraId="0FFE0975">
            <w:pPr>
              <w:kinsoku w:val="0"/>
              <w:overflowPunct w:val="0"/>
              <w:textAlignment w:val="baseline"/>
              <w:rPr>
                <w:rFonts w:hint="default" w:ascii="Times New Roman" w:hAnsi="Times New Roman" w:eastAsia="仿宋" w:cs="Times New Roman"/>
                <w:sz w:val="28"/>
                <w:szCs w:val="28"/>
                <w:lang w:eastAsia="en-US"/>
              </w:rPr>
            </w:pPr>
          </w:p>
        </w:tc>
      </w:tr>
      <w:tr w14:paraId="7C40E3CA">
        <w:tblPrEx>
          <w:tblCellMar>
            <w:top w:w="0" w:type="dxa"/>
            <w:left w:w="0" w:type="dxa"/>
            <w:bottom w:w="0" w:type="dxa"/>
            <w:right w:w="0" w:type="dxa"/>
          </w:tblCellMar>
        </w:tblPrEx>
        <w:trPr>
          <w:trHeight w:val="809"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55561284">
            <w:pPr>
              <w:kinsoku w:val="0"/>
              <w:overflowPunct w:val="0"/>
              <w:spacing w:before="243" w:after="168" w:line="346"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装机容量</w:t>
            </w:r>
          </w:p>
        </w:tc>
        <w:tc>
          <w:tcPr>
            <w:tcW w:w="2920" w:type="dxa"/>
            <w:gridSpan w:val="2"/>
            <w:tcBorders>
              <w:top w:val="single" w:color="auto" w:sz="4" w:space="0"/>
              <w:left w:val="single" w:color="auto" w:sz="4" w:space="0"/>
              <w:bottom w:val="single" w:color="auto" w:sz="4" w:space="0"/>
              <w:right w:val="single" w:color="auto" w:sz="4" w:space="0"/>
            </w:tcBorders>
            <w:noWrap w:val="0"/>
            <w:vAlign w:val="center"/>
          </w:tcPr>
          <w:p w14:paraId="4CCC6099">
            <w:pPr>
              <w:kinsoku w:val="0"/>
              <w:overflowPunct w:val="0"/>
              <w:spacing w:before="235" w:after="166" w:line="356" w:lineRule="exact"/>
              <w:ind w:right="12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eastAsia="en-US"/>
              </w:rPr>
              <w:t>k</w:t>
            </w:r>
            <w:r>
              <w:rPr>
                <w:rFonts w:hint="default" w:ascii="Times New Roman" w:hAnsi="Times New Roman" w:eastAsia="仿宋" w:cs="Times New Roman"/>
                <w:sz w:val="28"/>
                <w:szCs w:val="28"/>
              </w:rPr>
              <w:t>W</w:t>
            </w:r>
            <w:r>
              <w:rPr>
                <w:rFonts w:hint="default" w:ascii="Times New Roman" w:hAnsi="Times New Roman" w:eastAsia="仿宋" w:cs="Times New Roman"/>
                <w:sz w:val="28"/>
                <w:szCs w:val="28"/>
                <w:lang w:val="zh-Hans" w:eastAsia="zh-Hans"/>
              </w:rPr>
              <w:t>／台数</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2AE4D4FB">
            <w:pPr>
              <w:kinsoku w:val="0"/>
              <w:overflowPunct w:val="0"/>
              <w:spacing w:before="71" w:line="343"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设计年发</w:t>
            </w:r>
          </w:p>
          <w:p w14:paraId="0896D1DA">
            <w:pPr>
              <w:kinsoku w:val="0"/>
              <w:overflowPunct w:val="0"/>
              <w:spacing w:before="71" w:line="343"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电量</w:t>
            </w:r>
          </w:p>
        </w:tc>
        <w:tc>
          <w:tcPr>
            <w:tcW w:w="2946" w:type="dxa"/>
            <w:gridSpan w:val="2"/>
            <w:tcBorders>
              <w:top w:val="single" w:color="auto" w:sz="4" w:space="0"/>
              <w:left w:val="single" w:color="auto" w:sz="4" w:space="0"/>
              <w:bottom w:val="single" w:color="auto" w:sz="4" w:space="0"/>
              <w:right w:val="single" w:color="auto" w:sz="4" w:space="0"/>
            </w:tcBorders>
            <w:noWrap w:val="0"/>
            <w:vAlign w:val="center"/>
          </w:tcPr>
          <w:p w14:paraId="73B32178">
            <w:pPr>
              <w:kinsoku w:val="0"/>
              <w:overflowPunct w:val="0"/>
              <w:spacing w:before="276" w:after="202" w:line="279" w:lineRule="exact"/>
              <w:ind w:right="258"/>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万</w:t>
            </w:r>
            <w:r>
              <w:rPr>
                <w:rFonts w:hint="default" w:ascii="Times New Roman" w:hAnsi="Times New Roman" w:eastAsia="仿宋" w:cs="Times New Roman"/>
                <w:sz w:val="28"/>
                <w:szCs w:val="28"/>
                <w:lang w:eastAsia="en-US"/>
              </w:rPr>
              <w:t>kW</w:t>
            </w:r>
            <w:r>
              <w:rPr>
                <w:rFonts w:hint="default" w:ascii="Times New Roman" w:hAnsi="Times New Roman" w:eastAsia="宋体" w:cs="Times New Roman"/>
                <w:sz w:val="28"/>
                <w:szCs w:val="28"/>
              </w:rPr>
              <w:t>•</w:t>
            </w:r>
            <w:r>
              <w:rPr>
                <w:rFonts w:hint="default" w:ascii="Times New Roman" w:hAnsi="Times New Roman" w:eastAsia="仿宋" w:cs="Times New Roman"/>
                <w:sz w:val="28"/>
                <w:szCs w:val="28"/>
              </w:rPr>
              <w:t>h</w:t>
            </w:r>
          </w:p>
        </w:tc>
      </w:tr>
      <w:tr w14:paraId="48B83587">
        <w:tblPrEx>
          <w:tblCellMar>
            <w:top w:w="0" w:type="dxa"/>
            <w:left w:w="0" w:type="dxa"/>
            <w:bottom w:w="0" w:type="dxa"/>
            <w:right w:w="0" w:type="dxa"/>
          </w:tblCellMar>
        </w:tblPrEx>
        <w:trPr>
          <w:trHeight w:val="590" w:hRule="atLeast"/>
        </w:trPr>
        <w:tc>
          <w:tcPr>
            <w:tcW w:w="1740" w:type="dxa"/>
            <w:tcBorders>
              <w:top w:val="single" w:color="auto" w:sz="4" w:space="0"/>
              <w:left w:val="single" w:color="auto" w:sz="4" w:space="0"/>
              <w:bottom w:val="single" w:color="auto" w:sz="4" w:space="0"/>
              <w:right w:val="single" w:color="auto" w:sz="4" w:space="0"/>
            </w:tcBorders>
            <w:noWrap w:val="0"/>
            <w:vAlign w:val="center"/>
          </w:tcPr>
          <w:p w14:paraId="02AFDF51">
            <w:pPr>
              <w:kinsoku w:val="0"/>
              <w:overflowPunct w:val="0"/>
              <w:spacing w:before="74" w:after="1" w:line="346"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坝型、坝高</w:t>
            </w:r>
          </w:p>
        </w:tc>
        <w:tc>
          <w:tcPr>
            <w:tcW w:w="2920" w:type="dxa"/>
            <w:gridSpan w:val="2"/>
            <w:tcBorders>
              <w:top w:val="single" w:color="auto" w:sz="4" w:space="0"/>
              <w:left w:val="single" w:color="auto" w:sz="4" w:space="0"/>
              <w:bottom w:val="single" w:color="auto" w:sz="4" w:space="0"/>
              <w:right w:val="single" w:color="auto" w:sz="4" w:space="0"/>
            </w:tcBorders>
            <w:noWrap w:val="0"/>
            <w:vAlign w:val="center"/>
          </w:tcPr>
          <w:p w14:paraId="7B51C43E">
            <w:pPr>
              <w:kinsoku w:val="0"/>
              <w:overflowPunct w:val="0"/>
              <w:spacing w:before="111" w:after="31" w:line="279" w:lineRule="exact"/>
              <w:ind w:right="21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eastAsia="en-US"/>
              </w:rPr>
              <w:t>m</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5CF6F499">
            <w:pPr>
              <w:kinsoku w:val="0"/>
              <w:overflowPunct w:val="0"/>
              <w:spacing w:before="71" w:after="4" w:line="346" w:lineRule="exact"/>
              <w:ind w:right="30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总库容</w:t>
            </w:r>
          </w:p>
        </w:tc>
        <w:tc>
          <w:tcPr>
            <w:tcW w:w="2946" w:type="dxa"/>
            <w:gridSpan w:val="2"/>
            <w:tcBorders>
              <w:top w:val="single" w:color="auto" w:sz="4" w:space="0"/>
              <w:left w:val="single" w:color="auto" w:sz="4" w:space="0"/>
              <w:bottom w:val="single" w:color="auto" w:sz="4" w:space="0"/>
              <w:right w:val="single" w:color="auto" w:sz="4" w:space="0"/>
            </w:tcBorders>
            <w:noWrap w:val="0"/>
            <w:vAlign w:val="center"/>
          </w:tcPr>
          <w:p w14:paraId="139F1440">
            <w:pPr>
              <w:kinsoku w:val="0"/>
              <w:overflowPunct w:val="0"/>
              <w:spacing w:line="299" w:lineRule="exact"/>
              <w:ind w:right="252"/>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 xml:space="preserve">万 </w:t>
            </w:r>
            <w:r>
              <w:rPr>
                <w:rFonts w:hint="default" w:ascii="Times New Roman" w:hAnsi="Times New Roman" w:eastAsia="仿宋" w:cs="Times New Roman"/>
                <w:sz w:val="28"/>
                <w:szCs w:val="28"/>
                <w:lang w:eastAsia="en-US"/>
              </w:rPr>
              <w:t>m</w:t>
            </w:r>
            <w:r>
              <w:rPr>
                <w:rFonts w:hint="default" w:ascii="Times New Roman" w:hAnsi="Times New Roman" w:eastAsia="仿宋" w:cs="Times New Roman"/>
                <w:sz w:val="28"/>
                <w:szCs w:val="28"/>
                <w:vertAlign w:val="superscript"/>
                <w:lang w:eastAsia="en-US"/>
              </w:rPr>
              <w:t>3</w:t>
            </w:r>
          </w:p>
        </w:tc>
      </w:tr>
      <w:tr w14:paraId="36728418">
        <w:tblPrEx>
          <w:tblCellMar>
            <w:top w:w="0" w:type="dxa"/>
            <w:left w:w="0" w:type="dxa"/>
            <w:bottom w:w="0" w:type="dxa"/>
            <w:right w:w="0" w:type="dxa"/>
          </w:tblCellMar>
        </w:tblPrEx>
        <w:trPr>
          <w:trHeight w:val="588"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76B520D6">
            <w:pPr>
              <w:kinsoku w:val="0"/>
              <w:overflowPunct w:val="0"/>
              <w:spacing w:before="75"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开发方式</w:t>
            </w:r>
          </w:p>
        </w:tc>
        <w:tc>
          <w:tcPr>
            <w:tcW w:w="7399" w:type="dxa"/>
            <w:gridSpan w:val="5"/>
            <w:tcBorders>
              <w:top w:val="single" w:color="auto" w:sz="4" w:space="0"/>
              <w:left w:val="single" w:color="auto" w:sz="4" w:space="0"/>
              <w:bottom w:val="single" w:color="auto" w:sz="4" w:space="0"/>
              <w:right w:val="single" w:color="auto" w:sz="4" w:space="0"/>
            </w:tcBorders>
            <w:noWrap w:val="0"/>
            <w:vAlign w:val="center"/>
          </w:tcPr>
          <w:p w14:paraId="3E3F746E">
            <w:pPr>
              <w:tabs>
                <w:tab w:val="left" w:pos="2376"/>
                <w:tab w:val="left" w:pos="4320"/>
              </w:tabs>
              <w:kinsoku w:val="0"/>
              <w:overflowPunct w:val="0"/>
              <w:spacing w:before="70" w:after="1" w:line="346" w:lineRule="exact"/>
              <w:ind w:right="2105"/>
              <w:jc w:val="right"/>
              <w:textAlignment w:val="baseline"/>
              <w:rPr>
                <w:rFonts w:hint="default" w:ascii="Times New Roman" w:hAnsi="Times New Roman" w:eastAsia="仿宋" w:cs="Times New Roman"/>
                <w:sz w:val="28"/>
                <w:szCs w:val="28"/>
              </w:rPr>
            </w:pP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坝 式</w:t>
            </w:r>
            <w:r>
              <w:rPr>
                <w:rFonts w:hint="default" w:ascii="Times New Roman" w:hAnsi="Times New Roman" w:eastAsia="仿宋" w:cs="Times New Roman"/>
                <w:spacing w:val="-31"/>
                <w:sz w:val="28"/>
                <w:szCs w:val="28"/>
                <w:lang w:val="zh-Hans" w:eastAsia="zh-Hans"/>
              </w:rPr>
              <w:tab/>
            </w: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引水式</w:t>
            </w:r>
            <w:r>
              <w:rPr>
                <w:rFonts w:hint="default" w:ascii="Times New Roman" w:hAnsi="Times New Roman" w:eastAsia="仿宋" w:cs="Times New Roman"/>
                <w:spacing w:val="-31"/>
                <w:sz w:val="28"/>
                <w:szCs w:val="28"/>
                <w:lang w:val="zh-Hans" w:eastAsia="zh-Hans"/>
              </w:rPr>
              <w:tab/>
            </w: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混合</w:t>
            </w:r>
          </w:p>
        </w:tc>
      </w:tr>
      <w:tr w14:paraId="1C59606F">
        <w:tblPrEx>
          <w:tblCellMar>
            <w:top w:w="0" w:type="dxa"/>
            <w:left w:w="0" w:type="dxa"/>
            <w:bottom w:w="0" w:type="dxa"/>
            <w:right w:w="0" w:type="dxa"/>
          </w:tblCellMar>
        </w:tblPrEx>
        <w:trPr>
          <w:trHeight w:val="5187" w:hRule="exact"/>
        </w:trPr>
        <w:tc>
          <w:tcPr>
            <w:tcW w:w="9139" w:type="dxa"/>
            <w:gridSpan w:val="6"/>
            <w:tcBorders>
              <w:top w:val="single" w:color="auto" w:sz="4" w:space="0"/>
              <w:left w:val="single" w:color="auto" w:sz="4" w:space="0"/>
              <w:bottom w:val="single" w:color="auto" w:sz="4" w:space="0"/>
              <w:right w:val="single" w:color="auto" w:sz="4" w:space="0"/>
            </w:tcBorders>
            <w:noWrap w:val="0"/>
            <w:vAlign w:val="top"/>
          </w:tcPr>
          <w:p w14:paraId="5C0B7F5A">
            <w:pPr>
              <w:kinsoku w:val="0"/>
              <w:overflowPunct w:val="0"/>
              <w:spacing w:before="32" w:line="355" w:lineRule="exact"/>
              <w:ind w:left="144"/>
              <w:textAlignment w:val="baseline"/>
              <w:rPr>
                <w:rFonts w:hint="default" w:ascii="Times New Roman" w:hAnsi="Times New Roman" w:eastAsia="仿宋" w:cs="Times New Roman"/>
                <w:sz w:val="28"/>
                <w:szCs w:val="28"/>
              </w:rPr>
            </w:pPr>
            <w:r>
              <w:rPr>
                <w:rFonts w:hint="default" w:ascii="Times New Roman" w:hAnsi="Times New Roman" w:eastAsia="仿宋" w:cs="Times New Roman"/>
                <w:sz w:val="28"/>
                <w:szCs w:val="28"/>
                <w:lang w:val="zh-Hans" w:eastAsia="zh-Hans"/>
              </w:rPr>
              <w:t>安全生产标准化工作总结（近三年本单位标准化实施运行情况、持续改进情况以及取得的成效，从安全管理、操作行为、设备设施和作业环境等方面进行简要介绍，字数限定</w:t>
            </w:r>
            <w:r>
              <w:rPr>
                <w:rFonts w:hint="default" w:ascii="Times New Roman" w:hAnsi="Times New Roman" w:eastAsia="仿宋" w:cs="Times New Roman"/>
                <w:sz w:val="28"/>
                <w:szCs w:val="28"/>
              </w:rPr>
              <w:t>1500</w:t>
            </w:r>
            <w:r>
              <w:rPr>
                <w:rFonts w:hint="default" w:ascii="Times New Roman" w:hAnsi="Times New Roman" w:eastAsia="仿宋" w:cs="Times New Roman"/>
                <w:sz w:val="28"/>
                <w:szCs w:val="28"/>
                <w:lang w:val="zh-Hans" w:eastAsia="zh-Hans"/>
              </w:rPr>
              <w:t>字以内）</w:t>
            </w:r>
          </w:p>
          <w:p w14:paraId="0ADFF3FD">
            <w:pPr>
              <w:tabs>
                <w:tab w:val="left" w:pos="5688"/>
              </w:tabs>
              <w:kinsoku w:val="0"/>
              <w:overflowPunct w:val="0"/>
              <w:spacing w:before="2556" w:line="356" w:lineRule="exact"/>
              <w:ind w:left="144"/>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法定代表人（签名）</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lang w:val="zh-Hans" w:eastAsia="zh-Hans"/>
              </w:rPr>
              <w:t>（申请单位印章）</w:t>
            </w:r>
          </w:p>
          <w:p w14:paraId="38CB2EF9">
            <w:pPr>
              <w:tabs>
                <w:tab w:val="left" w:pos="6984"/>
                <w:tab w:val="left" w:pos="7776"/>
              </w:tabs>
              <w:kinsoku w:val="0"/>
              <w:overflowPunct w:val="0"/>
              <w:spacing w:before="41" w:after="509" w:line="346" w:lineRule="exact"/>
              <w:ind w:left="6048"/>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年</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月</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日</w:t>
            </w:r>
          </w:p>
        </w:tc>
      </w:tr>
    </w:tbl>
    <w:p w14:paraId="69C8BB19">
      <w:pPr>
        <w:kinsoku w:val="0"/>
        <w:overflowPunct w:val="0"/>
        <w:spacing w:line="609" w:lineRule="exact"/>
        <w:jc w:val="center"/>
        <w:textAlignment w:val="baseline"/>
        <w:rPr>
          <w:rFonts w:hint="default" w:ascii="Times New Roman" w:hAnsi="Times New Roman" w:eastAsia="方正小标宋_GBK" w:cs="Times New Roman"/>
          <w:color w:val="000000"/>
          <w:kern w:val="0"/>
          <w:sz w:val="32"/>
          <w:szCs w:val="32"/>
        </w:rPr>
      </w:pPr>
      <w:r>
        <w:rPr>
          <w:rFonts w:hint="default" w:ascii="Times New Roman" w:hAnsi="Times New Roman" w:eastAsia="方正小标宋_GBK" w:cs="Times New Roman"/>
          <w:spacing w:val="27"/>
          <w:sz w:val="36"/>
          <w:szCs w:val="32"/>
          <w:lang w:val="zh-Hans" w:eastAsia="zh-Hans"/>
        </w:rPr>
        <w:t>小</w:t>
      </w:r>
      <w:r>
        <w:rPr>
          <w:rFonts w:hint="default" w:ascii="Times New Roman" w:hAnsi="Times New Roman" w:eastAsia="方正小标宋_GBK" w:cs="Times New Roman"/>
          <w:spacing w:val="27"/>
          <w:sz w:val="36"/>
          <w:szCs w:val="32"/>
          <w:lang w:val="en-US" w:eastAsia="zh-CN"/>
        </w:rPr>
        <w:t>型</w:t>
      </w:r>
      <w:r>
        <w:rPr>
          <w:rFonts w:hint="default" w:ascii="Times New Roman" w:hAnsi="Times New Roman" w:eastAsia="方正小标宋_GBK" w:cs="Times New Roman"/>
          <w:spacing w:val="27"/>
          <w:sz w:val="36"/>
          <w:szCs w:val="32"/>
          <w:lang w:val="zh-Hans" w:eastAsia="zh-Hans"/>
        </w:rPr>
        <w:t>水电站安全生产标准化</w:t>
      </w:r>
      <w:r>
        <w:rPr>
          <w:rFonts w:hint="default" w:ascii="Times New Roman" w:hAnsi="Times New Roman" w:eastAsia="方正小标宋_GBK" w:cs="Times New Roman"/>
          <w:spacing w:val="27"/>
          <w:sz w:val="36"/>
          <w:szCs w:val="32"/>
          <w:lang w:val="zh-Hans" w:eastAsia="zh-CN"/>
        </w:rPr>
        <w:t>期满延续</w:t>
      </w:r>
      <w:r>
        <w:rPr>
          <w:rFonts w:hint="default" w:ascii="Times New Roman" w:hAnsi="Times New Roman" w:eastAsia="方正小标宋_GBK" w:cs="Times New Roman"/>
          <w:spacing w:val="27"/>
          <w:sz w:val="36"/>
          <w:szCs w:val="32"/>
          <w:lang w:val="zh-Hans" w:eastAsia="zh-Hans"/>
        </w:rPr>
        <w:t>申请表</w:t>
      </w:r>
    </w:p>
    <w:p w14:paraId="5868EED4">
      <w:pPr>
        <w:spacing w:line="560" w:lineRule="exact"/>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F</w:t>
      </w:r>
    </w:p>
    <w:p w14:paraId="4B89017D">
      <w:pPr>
        <w:spacing w:line="560" w:lineRule="exact"/>
        <w:jc w:val="center"/>
        <w:rPr>
          <w:rFonts w:hint="default" w:ascii="Times New Roman" w:hAnsi="Times New Roman" w:eastAsia="华文中宋" w:cs="Times New Roman"/>
          <w:b/>
          <w:kern w:val="44"/>
          <w:sz w:val="36"/>
          <w:szCs w:val="36"/>
        </w:rPr>
      </w:pPr>
    </w:p>
    <w:p w14:paraId="09CBC7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44"/>
          <w:sz w:val="44"/>
          <w:szCs w:val="36"/>
        </w:rPr>
      </w:pPr>
      <w:r>
        <w:rPr>
          <w:rFonts w:hint="default" w:ascii="Times New Roman" w:hAnsi="Times New Roman" w:eastAsia="方正小标宋_GBK" w:cs="Times New Roman"/>
          <w:kern w:val="44"/>
          <w:sz w:val="44"/>
          <w:szCs w:val="36"/>
        </w:rPr>
        <w:t>小</w:t>
      </w:r>
      <w:r>
        <w:rPr>
          <w:rFonts w:hint="default" w:ascii="Times New Roman" w:hAnsi="Times New Roman" w:eastAsia="方正小标宋_GBK" w:cs="Times New Roman"/>
          <w:kern w:val="44"/>
          <w:sz w:val="44"/>
          <w:szCs w:val="36"/>
          <w:lang w:val="en-US" w:eastAsia="zh-CN"/>
        </w:rPr>
        <w:t>型</w:t>
      </w:r>
      <w:r>
        <w:rPr>
          <w:rFonts w:hint="default" w:ascii="Times New Roman" w:hAnsi="Times New Roman" w:eastAsia="方正小标宋_GBK" w:cs="Times New Roman"/>
          <w:kern w:val="44"/>
          <w:sz w:val="44"/>
          <w:szCs w:val="36"/>
        </w:rPr>
        <w:t>水电站安全生产标准化年度自评报告</w:t>
      </w:r>
    </w:p>
    <w:p w14:paraId="3CBC538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44"/>
          <w:sz w:val="44"/>
          <w:szCs w:val="36"/>
        </w:rPr>
      </w:pPr>
      <w:r>
        <w:rPr>
          <w:rFonts w:hint="default" w:ascii="Times New Roman" w:hAnsi="Times New Roman" w:eastAsia="方正小标宋_GBK" w:cs="Times New Roman"/>
          <w:kern w:val="44"/>
          <w:sz w:val="44"/>
          <w:szCs w:val="36"/>
          <w:lang w:val="en-US" w:eastAsia="zh-CN"/>
        </w:rPr>
        <w:t>(</w:t>
      </w:r>
      <w:r>
        <w:rPr>
          <w:rFonts w:hint="default" w:ascii="Times New Roman" w:hAnsi="Times New Roman" w:eastAsia="方正小标宋_GBK" w:cs="Times New Roman"/>
          <w:kern w:val="44"/>
          <w:sz w:val="44"/>
          <w:szCs w:val="36"/>
        </w:rPr>
        <w:t>格式</w:t>
      </w:r>
      <w:r>
        <w:rPr>
          <w:rFonts w:hint="default" w:ascii="Times New Roman" w:hAnsi="Times New Roman" w:eastAsia="方正小标宋_GBK" w:cs="Times New Roman"/>
          <w:kern w:val="44"/>
          <w:sz w:val="44"/>
          <w:szCs w:val="36"/>
          <w:lang w:val="en-US" w:eastAsia="zh-CN"/>
        </w:rPr>
        <w:t>)</w:t>
      </w:r>
    </w:p>
    <w:p w14:paraId="3E1FD499">
      <w:pPr>
        <w:spacing w:line="560" w:lineRule="exact"/>
        <w:jc w:val="center"/>
        <w:rPr>
          <w:rFonts w:hint="default" w:ascii="Times New Roman" w:hAnsi="Times New Roman" w:eastAsia="华文中宋" w:cs="Times New Roman"/>
          <w:b/>
          <w:kern w:val="44"/>
          <w:sz w:val="36"/>
          <w:szCs w:val="36"/>
        </w:rPr>
      </w:pPr>
    </w:p>
    <w:p w14:paraId="156184FD">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一、封面及编写目录</w:t>
      </w:r>
    </w:p>
    <w:p w14:paraId="73A66A06">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w:t>
      </w:r>
      <w:r>
        <w:rPr>
          <w:rFonts w:hint="default" w:ascii="Times New Roman" w:hAnsi="Times New Roman" w:eastAsia="仿宋_GB2312" w:cs="Times New Roman"/>
          <w:spacing w:val="-2"/>
          <w:sz w:val="32"/>
          <w:szCs w:val="32"/>
          <w:lang w:val="en-US" w:eastAsia="zh-CN"/>
        </w:rPr>
        <w:t>年度</w:t>
      </w:r>
      <w:r>
        <w:rPr>
          <w:rFonts w:hint="default" w:ascii="Times New Roman" w:hAnsi="Times New Roman" w:eastAsia="仿宋_GB2312" w:cs="Times New Roman"/>
          <w:spacing w:val="-2"/>
          <w:sz w:val="32"/>
          <w:szCs w:val="32"/>
        </w:rPr>
        <w:t>自评报告》封面格式如表1所示。</w:t>
      </w:r>
    </w:p>
    <w:p w14:paraId="48DA66D4">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both"/>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napToGrid w:val="0"/>
          <w:sz w:val="32"/>
          <w:szCs w:val="32"/>
        </w:rPr>
        <w:t xml:space="preserve">表1  </w:t>
      </w:r>
      <w:r>
        <w:rPr>
          <w:rFonts w:hint="default" w:ascii="Times New Roman" w:hAnsi="Times New Roman" w:eastAsia="楷体_GB2312" w:cs="Times New Roman"/>
          <w:sz w:val="32"/>
          <w:szCs w:val="32"/>
          <w:lang w:val="en-US" w:eastAsia="zh-CN"/>
        </w:rPr>
        <w:t>小型</w:t>
      </w:r>
      <w:r>
        <w:rPr>
          <w:rFonts w:hint="default" w:ascii="Times New Roman" w:hAnsi="Times New Roman" w:eastAsia="楷体_GB2312" w:cs="Times New Roman"/>
          <w:sz w:val="32"/>
          <w:szCs w:val="32"/>
        </w:rPr>
        <w:t>水电站安全生产标准化</w:t>
      </w:r>
      <w:r>
        <w:rPr>
          <w:rFonts w:hint="default" w:ascii="Times New Roman" w:hAnsi="Times New Roman" w:eastAsia="楷体_GB2312" w:cs="Times New Roman"/>
          <w:sz w:val="32"/>
          <w:szCs w:val="32"/>
          <w:lang w:val="en-US" w:eastAsia="zh-CN"/>
        </w:rPr>
        <w:t>年度</w:t>
      </w:r>
      <w:r>
        <w:rPr>
          <w:rFonts w:hint="default" w:ascii="Times New Roman" w:hAnsi="Times New Roman" w:eastAsia="楷体_GB2312" w:cs="Times New Roman"/>
          <w:sz w:val="32"/>
          <w:szCs w:val="32"/>
        </w:rPr>
        <w:t>自评报告</w:t>
      </w:r>
      <w:r>
        <w:rPr>
          <w:rFonts w:hint="default" w:ascii="Times New Roman" w:hAnsi="Times New Roman" w:eastAsia="楷体_GB2312" w:cs="Times New Roman"/>
          <w:snapToGrid w:val="0"/>
          <w:sz w:val="32"/>
          <w:szCs w:val="32"/>
        </w:rPr>
        <w:t>封面</w:t>
      </w:r>
    </w:p>
    <w:tbl>
      <w:tblPr>
        <w:tblStyle w:val="9"/>
        <w:tblW w:w="94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40"/>
      </w:tblGrid>
      <w:tr w14:paraId="1FCDD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2" w:hRule="atLeast"/>
          <w:jc w:val="center"/>
        </w:trPr>
        <w:tc>
          <w:tcPr>
            <w:tcW w:w="9440" w:type="dxa"/>
            <w:noWrap w:val="0"/>
            <w:vAlign w:val="center"/>
          </w:tcPr>
          <w:p w14:paraId="6F584D56">
            <w:pPr>
              <w:adjustRightInd w:val="0"/>
              <w:snapToGrid w:val="0"/>
              <w:jc w:val="center"/>
              <w:rPr>
                <w:rFonts w:hint="default" w:ascii="Times New Roman" w:hAnsi="Times New Roman" w:cs="Times New Roman"/>
                <w:b/>
                <w:snapToGrid w:val="0"/>
                <w:kern w:val="0"/>
              </w:rPr>
            </w:pPr>
          </w:p>
          <w:p w14:paraId="780F8DEA">
            <w:pPr>
              <w:adjustRightInd w:val="0"/>
              <w:snapToGrid w:val="0"/>
              <w:jc w:val="center"/>
              <w:rPr>
                <w:rFonts w:hint="default" w:ascii="Times New Roman" w:hAnsi="Times New Roman" w:cs="Times New Roman"/>
                <w:b/>
                <w:snapToGrid w:val="0"/>
                <w:kern w:val="0"/>
              </w:rPr>
            </w:pPr>
          </w:p>
          <w:p w14:paraId="0AEE45F2">
            <w:pPr>
              <w:jc w:val="center"/>
              <w:rPr>
                <w:rFonts w:hint="default" w:ascii="Times New Roman" w:hAnsi="Times New Roman" w:eastAsia="黑体" w:cs="Times New Roman"/>
                <w:b/>
                <w:sz w:val="36"/>
                <w:szCs w:val="36"/>
              </w:rPr>
            </w:pPr>
            <w:r>
              <w:rPr>
                <w:rFonts w:hint="default" w:ascii="Times New Roman" w:hAnsi="Times New Roman" w:eastAsia="黑体" w:cs="Times New Roman"/>
                <w:b/>
                <w:sz w:val="36"/>
                <w:szCs w:val="36"/>
                <w:lang w:val="en-US" w:eastAsia="zh-CN"/>
              </w:rPr>
              <w:t>小型</w:t>
            </w:r>
            <w:r>
              <w:rPr>
                <w:rFonts w:hint="default" w:ascii="Times New Roman" w:hAnsi="Times New Roman" w:eastAsia="黑体" w:cs="Times New Roman"/>
                <w:b/>
                <w:sz w:val="36"/>
                <w:szCs w:val="36"/>
              </w:rPr>
              <w:t>水电站安全生产标准化</w:t>
            </w:r>
            <w:r>
              <w:rPr>
                <w:rFonts w:hint="default" w:ascii="Times New Roman" w:hAnsi="Times New Roman" w:eastAsia="黑体" w:cs="Times New Roman"/>
                <w:b/>
                <w:sz w:val="36"/>
                <w:szCs w:val="36"/>
                <w:lang w:val="en-US" w:eastAsia="zh-CN"/>
              </w:rPr>
              <w:t>年度</w:t>
            </w:r>
            <w:r>
              <w:rPr>
                <w:rFonts w:hint="default" w:ascii="Times New Roman" w:hAnsi="Times New Roman" w:eastAsia="黑体" w:cs="Times New Roman"/>
                <w:b/>
                <w:sz w:val="36"/>
                <w:szCs w:val="36"/>
              </w:rPr>
              <w:t xml:space="preserve">自评报告                                                                                                                                                                                                                                                                                                                                                         </w:t>
            </w:r>
          </w:p>
          <w:p w14:paraId="797FCFDD">
            <w:pPr>
              <w:jc w:val="center"/>
              <w:rPr>
                <w:rFonts w:hint="default" w:ascii="Times New Roman" w:hAnsi="Times New Roman" w:eastAsia="黑体" w:cs="Times New Roman"/>
                <w:b/>
                <w:sz w:val="44"/>
                <w:szCs w:val="44"/>
              </w:rPr>
            </w:pPr>
            <w:r>
              <w:rPr>
                <w:rFonts w:hint="default" w:ascii="Times New Roman" w:hAnsi="Times New Roman" w:eastAsia="黑体" w:cs="Times New Roman"/>
                <w:b/>
                <w:sz w:val="44"/>
                <w:szCs w:val="44"/>
              </w:rPr>
              <w:t xml:space="preserve"> </w:t>
            </w:r>
          </w:p>
          <w:p w14:paraId="4D4C1F4C">
            <w:pPr>
              <w:jc w:val="center"/>
              <w:rPr>
                <w:rFonts w:hint="default" w:ascii="Times New Roman" w:hAnsi="Times New Roman" w:eastAsia="黑体" w:cs="Times New Roman"/>
                <w:b/>
                <w:sz w:val="44"/>
                <w:szCs w:val="44"/>
              </w:rPr>
            </w:pPr>
          </w:p>
          <w:p w14:paraId="1DB30F98">
            <w:pPr>
              <w:adjustRightInd w:val="0"/>
              <w:snapToGrid w:val="0"/>
              <w:spacing w:before="120" w:beforeLines="50"/>
              <w:ind w:firstLine="1643" w:firstLineChars="587"/>
              <w:rPr>
                <w:rFonts w:hint="default" w:ascii="Times New Roman" w:hAnsi="Times New Roman" w:cs="Times New Roman"/>
                <w:snapToGrid w:val="0"/>
                <w:kern w:val="0"/>
                <w:sz w:val="28"/>
                <w:szCs w:val="28"/>
              </w:rPr>
            </w:pPr>
            <w:r>
              <w:rPr>
                <w:rFonts w:hint="default" w:ascii="Times New Roman" w:hAnsi="Times New Roman" w:cs="Times New Roman"/>
                <w:snapToGrid w:val="0"/>
                <w:kern w:val="0"/>
                <w:sz w:val="28"/>
                <w:szCs w:val="28"/>
                <w:lang w:val="en-US" w:eastAsia="zh-CN"/>
              </w:rPr>
              <w:t>续期</w:t>
            </w:r>
            <w:r>
              <w:rPr>
                <w:rFonts w:hint="default" w:ascii="Times New Roman" w:hAnsi="Times New Roman" w:cs="Times New Roman"/>
                <w:snapToGrid w:val="0"/>
                <w:kern w:val="0"/>
                <w:sz w:val="28"/>
                <w:szCs w:val="28"/>
              </w:rPr>
              <w:t>等级：</w:t>
            </w:r>
            <w:r>
              <w:rPr>
                <w:rFonts w:hint="default" w:ascii="Times New Roman" w:hAnsi="Times New Roman" w:cs="Times New Roman"/>
                <w:snapToGrid w:val="0"/>
                <w:kern w:val="0"/>
                <w:sz w:val="28"/>
                <w:szCs w:val="28"/>
                <w:u w:val="single"/>
              </w:rPr>
              <w:t xml:space="preserve">                      </w:t>
            </w:r>
          </w:p>
          <w:p w14:paraId="0EBF31B5">
            <w:pPr>
              <w:adjustRightInd w:val="0"/>
              <w:snapToGrid w:val="0"/>
              <w:jc w:val="center"/>
              <w:rPr>
                <w:rFonts w:hint="default" w:ascii="Times New Roman" w:hAnsi="Times New Roman" w:cs="Times New Roman"/>
                <w:snapToGrid w:val="0"/>
                <w:kern w:val="0"/>
                <w:sz w:val="30"/>
                <w:szCs w:val="30"/>
              </w:rPr>
            </w:pPr>
          </w:p>
          <w:p w14:paraId="5A6E62F5">
            <w:pPr>
              <w:adjustRightInd w:val="0"/>
              <w:snapToGrid w:val="0"/>
              <w:jc w:val="center"/>
              <w:rPr>
                <w:rFonts w:hint="default" w:ascii="Times New Roman" w:hAnsi="Times New Roman" w:cs="Times New Roman"/>
                <w:snapToGrid w:val="0"/>
                <w:kern w:val="0"/>
                <w:sz w:val="30"/>
                <w:szCs w:val="30"/>
              </w:rPr>
            </w:pPr>
          </w:p>
          <w:p w14:paraId="45771DBA">
            <w:pPr>
              <w:adjustRightInd w:val="0"/>
              <w:snapToGrid w:val="0"/>
              <w:jc w:val="center"/>
              <w:rPr>
                <w:rFonts w:hint="default" w:ascii="Times New Roman" w:hAnsi="Times New Roman" w:cs="Times New Roman"/>
                <w:snapToGrid w:val="0"/>
                <w:kern w:val="0"/>
                <w:sz w:val="30"/>
                <w:szCs w:val="30"/>
              </w:rPr>
            </w:pPr>
          </w:p>
          <w:p w14:paraId="3C51B053">
            <w:pPr>
              <w:adjustRightInd w:val="0"/>
              <w:snapToGrid w:val="0"/>
              <w:jc w:val="center"/>
              <w:rPr>
                <w:rFonts w:hint="default" w:ascii="Times New Roman" w:hAnsi="Times New Roman" w:cs="Times New Roman"/>
                <w:snapToGrid w:val="0"/>
                <w:kern w:val="0"/>
                <w:sz w:val="30"/>
                <w:szCs w:val="30"/>
              </w:rPr>
            </w:pPr>
          </w:p>
          <w:p w14:paraId="26E71874">
            <w:pPr>
              <w:adjustRightInd w:val="0"/>
              <w:snapToGrid w:val="0"/>
              <w:jc w:val="center"/>
              <w:rPr>
                <w:rFonts w:hint="default" w:ascii="Times New Roman" w:hAnsi="Times New Roman" w:eastAsia="宋体" w:cs="Times New Roman"/>
                <w:snapToGrid w:val="0"/>
                <w:kern w:val="0"/>
                <w:sz w:val="30"/>
                <w:szCs w:val="30"/>
                <w:lang w:val="en-US" w:eastAsia="zh-CN"/>
              </w:rPr>
            </w:pPr>
            <w:r>
              <w:rPr>
                <w:rFonts w:hint="default" w:ascii="Times New Roman" w:hAnsi="Times New Roman" w:cs="Times New Roman"/>
                <w:snapToGrid w:val="0"/>
                <w:kern w:val="0"/>
                <w:sz w:val="24"/>
                <w:szCs w:val="24"/>
              </w:rPr>
              <w:t>自评单位名称：</w:t>
            </w:r>
            <w:r>
              <w:rPr>
                <w:rFonts w:hint="default" w:ascii="Times New Roman" w:hAnsi="Times New Roman" w:cs="Times New Roman"/>
                <w:snapToGrid w:val="0"/>
                <w:kern w:val="0"/>
                <w:sz w:val="24"/>
                <w:szCs w:val="24"/>
                <w:lang w:val="en-US" w:eastAsia="zh-CN"/>
              </w:rPr>
              <w:t>xx公司xx水电站</w:t>
            </w:r>
          </w:p>
          <w:p w14:paraId="37021DB0">
            <w:pPr>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snapToGrid w:val="0"/>
                <w:kern w:val="0"/>
                <w:sz w:val="24"/>
                <w:szCs w:val="30"/>
              </w:rPr>
              <w:t>年  月  日</w:t>
            </w:r>
          </w:p>
        </w:tc>
      </w:tr>
    </w:tbl>
    <w:p w14:paraId="6552803E">
      <w:pPr>
        <w:pStyle w:val="19"/>
        <w:keepNext w:val="0"/>
        <w:keepLines w:val="0"/>
        <w:pageBreakBefore w:val="0"/>
        <w:widowControl w:val="0"/>
        <w:kinsoku/>
        <w:wordWrap/>
        <w:overflowPunct/>
        <w:topLinePunct w:val="0"/>
        <w:autoSpaceDE/>
        <w:autoSpaceDN/>
        <w:bidi w:val="0"/>
        <w:adjustRightInd w:val="0"/>
        <w:spacing w:line="460" w:lineRule="exact"/>
        <w:ind w:firstLine="592"/>
        <w:textAlignment w:val="baseline"/>
        <w:rPr>
          <w:rFonts w:hint="default" w:ascii="Times New Roman" w:hAnsi="Times New Roman" w:eastAsia="仿宋" w:cs="Times New Roman"/>
          <w:spacing w:val="-2"/>
          <w:sz w:val="30"/>
          <w:szCs w:val="30"/>
        </w:rPr>
      </w:pPr>
      <w:r>
        <w:rPr>
          <w:rFonts w:hint="default" w:ascii="Times New Roman" w:hAnsi="Times New Roman" w:eastAsia="仿宋" w:cs="Times New Roman"/>
          <w:spacing w:val="-2"/>
          <w:sz w:val="30"/>
          <w:szCs w:val="30"/>
        </w:rPr>
        <w:t>《</w:t>
      </w:r>
      <w:r>
        <w:rPr>
          <w:rFonts w:hint="default" w:ascii="Times New Roman" w:hAnsi="Times New Roman" w:eastAsia="仿宋" w:cs="Times New Roman"/>
          <w:spacing w:val="-2"/>
          <w:sz w:val="30"/>
          <w:szCs w:val="30"/>
          <w:lang w:val="en-US" w:eastAsia="zh-CN"/>
        </w:rPr>
        <w:t>年度</w:t>
      </w:r>
      <w:r>
        <w:rPr>
          <w:rFonts w:hint="default" w:ascii="Times New Roman" w:hAnsi="Times New Roman" w:eastAsia="仿宋" w:cs="Times New Roman"/>
          <w:spacing w:val="-2"/>
          <w:sz w:val="30"/>
          <w:szCs w:val="30"/>
        </w:rPr>
        <w:t>自评报告》目录即自评报告的编写纲要如表2所示。</w:t>
      </w:r>
    </w:p>
    <w:p w14:paraId="789726D7">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both"/>
        <w:textAlignment w:val="baseline"/>
        <w:rPr>
          <w:rFonts w:hint="default" w:ascii="Times New Roman" w:hAnsi="Times New Roman" w:cs="Times New Roman"/>
          <w:b/>
          <w:szCs w:val="24"/>
        </w:rPr>
      </w:pPr>
      <w:r>
        <w:rPr>
          <w:rFonts w:hint="default" w:ascii="Times New Roman" w:hAnsi="Times New Roman" w:cs="Times New Roman"/>
          <w:b/>
          <w:szCs w:val="24"/>
        </w:rPr>
        <w:t xml:space="preserve">表2  </w:t>
      </w:r>
      <w:r>
        <w:rPr>
          <w:rFonts w:hint="default" w:ascii="Times New Roman" w:hAnsi="Times New Roman" w:cs="Times New Roman"/>
          <w:b/>
          <w:szCs w:val="24"/>
          <w:lang w:val="en-US" w:eastAsia="zh-CN"/>
        </w:rPr>
        <w:t>小型</w:t>
      </w:r>
      <w:r>
        <w:rPr>
          <w:rFonts w:hint="default" w:ascii="Times New Roman" w:hAnsi="Times New Roman" w:cs="Times New Roman"/>
          <w:b/>
          <w:szCs w:val="24"/>
        </w:rPr>
        <w:t>水电站安全生产标准化</w:t>
      </w:r>
      <w:r>
        <w:rPr>
          <w:rFonts w:hint="default" w:ascii="Times New Roman" w:hAnsi="Times New Roman" w:cs="Times New Roman"/>
          <w:b/>
          <w:szCs w:val="24"/>
          <w:lang w:val="en-US" w:eastAsia="zh-CN"/>
        </w:rPr>
        <w:t>年度</w:t>
      </w:r>
      <w:r>
        <w:rPr>
          <w:rFonts w:hint="default" w:ascii="Times New Roman" w:hAnsi="Times New Roman" w:cs="Times New Roman"/>
          <w:b/>
          <w:szCs w:val="24"/>
        </w:rPr>
        <w:t>自评报告编写目录</w:t>
      </w:r>
    </w:p>
    <w:tbl>
      <w:tblPr>
        <w:tblStyle w:val="9"/>
        <w:tblW w:w="95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60BF9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22" w:hRule="atLeast"/>
          <w:jc w:val="center"/>
        </w:trPr>
        <w:tc>
          <w:tcPr>
            <w:tcW w:w="9540" w:type="dxa"/>
            <w:noWrap w:val="0"/>
            <w:vAlign w:val="center"/>
          </w:tcPr>
          <w:p w14:paraId="294F76E9">
            <w:pPr>
              <w:pStyle w:val="17"/>
              <w:spacing w:before="60" w:after="60"/>
              <w:ind w:firstLine="408"/>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目  录</w:t>
            </w:r>
          </w:p>
          <w:p w14:paraId="2CF2F64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一、单位概况</w:t>
            </w:r>
          </w:p>
          <w:p w14:paraId="3905C66E">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二、安全生产管理绩效</w:t>
            </w:r>
          </w:p>
          <w:p w14:paraId="72D21CA4">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三、年度自主评定开展情况</w:t>
            </w:r>
          </w:p>
          <w:p w14:paraId="75717106">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四、安全生产标准化自评打分表</w:t>
            </w:r>
          </w:p>
          <w:p w14:paraId="6F3D7371">
            <w:pPr>
              <w:pStyle w:val="17"/>
              <w:spacing w:before="60" w:after="60"/>
              <w:ind w:firstLine="560" w:firstLineChars="20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自主评定结果</w:t>
            </w:r>
          </w:p>
          <w:p w14:paraId="27D36D6F">
            <w:pPr>
              <w:pStyle w:val="17"/>
              <w:spacing w:before="60" w:after="60"/>
              <w:ind w:firstLine="560" w:firstLineChars="200"/>
              <w:jc w:val="both"/>
              <w:rPr>
                <w:rFonts w:hint="default" w:ascii="Times New Roman" w:hAnsi="Times New Roman" w:eastAsia="仿宋" w:cs="Times New Roman"/>
                <w:sz w:val="24"/>
                <w:szCs w:val="24"/>
              </w:rPr>
            </w:pPr>
            <w:r>
              <w:rPr>
                <w:rFonts w:hint="default" w:ascii="Times New Roman" w:hAnsi="Times New Roman" w:eastAsia="仿宋" w:cs="Times New Roman"/>
                <w:sz w:val="28"/>
                <w:szCs w:val="28"/>
                <w:lang w:val="en-US" w:eastAsia="zh-CN"/>
              </w:rPr>
              <w:t>六</w:t>
            </w:r>
            <w:r>
              <w:rPr>
                <w:rFonts w:hint="default" w:ascii="Times New Roman" w:hAnsi="Times New Roman" w:eastAsia="仿宋" w:cs="Times New Roman"/>
                <w:sz w:val="28"/>
                <w:szCs w:val="28"/>
              </w:rPr>
              <w:t>、附件</w:t>
            </w:r>
          </w:p>
        </w:tc>
      </w:tr>
    </w:tbl>
    <w:p w14:paraId="49473DBB">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《年度自评报告》内容包括：单位概况、安全生产管理绩效、年度自主评定工作开展情况、安全生产标准化自评打分表、年度自主评定结果、附件等。</w:t>
      </w:r>
    </w:p>
    <w:p w14:paraId="17F71A02">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二</w:t>
      </w:r>
      <w:r>
        <w:rPr>
          <w:rFonts w:hint="default" w:ascii="Times New Roman" w:hAnsi="Times New Roman" w:eastAsia="黑体" w:cs="Times New Roman"/>
          <w:b w:val="0"/>
          <w:sz w:val="32"/>
          <w:szCs w:val="32"/>
        </w:rPr>
        <w:t>、单位概况</w:t>
      </w:r>
    </w:p>
    <w:p w14:paraId="70556223">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写明单位的性质，地理位置，单位证照情况，建站、投产时间，电站规模，员工人数，主设备简况，与电网并网情况等。</w:t>
      </w:r>
    </w:p>
    <w:p w14:paraId="23363D9D">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三</w:t>
      </w:r>
      <w:r>
        <w:rPr>
          <w:rFonts w:hint="default" w:ascii="Times New Roman" w:hAnsi="Times New Roman" w:eastAsia="黑体" w:cs="Times New Roman"/>
          <w:b w:val="0"/>
          <w:sz w:val="32"/>
          <w:szCs w:val="32"/>
        </w:rPr>
        <w:t>、安全生产管理绩效</w:t>
      </w:r>
    </w:p>
    <w:p w14:paraId="25DFA406">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主要写明电站安全生产标准化达标后近一年来的安全生产管理绩效情况。</w:t>
      </w:r>
    </w:p>
    <w:p w14:paraId="7E018CD8">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四</w:t>
      </w:r>
      <w:r>
        <w:rPr>
          <w:rFonts w:hint="default" w:ascii="Times New Roman" w:hAnsi="Times New Roman" w:eastAsia="黑体" w:cs="Times New Roman"/>
          <w:b w:val="0"/>
          <w:sz w:val="32"/>
          <w:szCs w:val="32"/>
        </w:rPr>
        <w:t>、年度自主评定开展情况</w:t>
      </w:r>
    </w:p>
    <w:p w14:paraId="55D83A55">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1.主要写明组织机构、开展形式、查评时间、查评依据、查评范围，以及落实责任开始至完成自查评整改，具体条件结束。必要时可简要写明开展单位自评全过程。</w:t>
      </w:r>
    </w:p>
    <w:p w14:paraId="2A41D876">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2.发现的主要问题、整改计划和措施、整改完成情况：自评工作结束后，应对评审的问题项进行打分，提出整改措施，确定重点问题，填写《发现的主要问题、整改措施及分项评分明细表》（表1）</w:t>
      </w:r>
      <w:r>
        <w:rPr>
          <w:rFonts w:hint="default" w:ascii="Times New Roman" w:hAnsi="Times New Roman" w:cs="Times New Roman"/>
          <w:spacing w:val="-2"/>
          <w:sz w:val="32"/>
          <w:lang w:eastAsia="zh-CN"/>
        </w:rPr>
        <w:t>。</w:t>
      </w:r>
    </w:p>
    <w:p w14:paraId="3AEDB48B">
      <w:pPr>
        <w:pStyle w:val="16"/>
        <w:spacing w:before="234" w:after="78"/>
        <w:rPr>
          <w:rFonts w:hint="default" w:ascii="Times New Roman" w:hAnsi="Times New Roman" w:cs="Times New Roman"/>
          <w:sz w:val="28"/>
          <w:szCs w:val="28"/>
        </w:rPr>
      </w:pPr>
      <w:r>
        <w:rPr>
          <w:rFonts w:hint="default" w:ascii="Times New Roman" w:hAnsi="Times New Roman" w:cs="Times New Roman"/>
          <w:sz w:val="28"/>
          <w:szCs w:val="28"/>
        </w:rPr>
        <w:t>表1 发现的主要问题、整改措施及分项评分明细表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1177"/>
        <w:gridCol w:w="992"/>
        <w:gridCol w:w="539"/>
        <w:gridCol w:w="602"/>
        <w:gridCol w:w="603"/>
        <w:gridCol w:w="1375"/>
        <w:gridCol w:w="850"/>
        <w:gridCol w:w="709"/>
        <w:gridCol w:w="508"/>
        <w:gridCol w:w="1150"/>
      </w:tblGrid>
      <w:tr w14:paraId="20EE9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7CD787D6">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709" w:type="dxa"/>
            <w:noWrap w:val="0"/>
            <w:vAlign w:val="center"/>
          </w:tcPr>
          <w:p w14:paraId="01534545">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项目序号</w:t>
            </w:r>
          </w:p>
        </w:tc>
        <w:tc>
          <w:tcPr>
            <w:tcW w:w="1177" w:type="dxa"/>
            <w:noWrap w:val="0"/>
            <w:vAlign w:val="center"/>
          </w:tcPr>
          <w:p w14:paraId="1F249AF3">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发现的问题</w:t>
            </w:r>
          </w:p>
        </w:tc>
        <w:tc>
          <w:tcPr>
            <w:tcW w:w="992" w:type="dxa"/>
            <w:noWrap w:val="0"/>
            <w:vAlign w:val="center"/>
          </w:tcPr>
          <w:p w14:paraId="7A104B27">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扣分</w:t>
            </w:r>
          </w:p>
          <w:p w14:paraId="6B6F86F0">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w:t>
            </w:r>
          </w:p>
        </w:tc>
        <w:tc>
          <w:tcPr>
            <w:tcW w:w="539" w:type="dxa"/>
            <w:noWrap w:val="0"/>
            <w:vAlign w:val="center"/>
          </w:tcPr>
          <w:p w14:paraId="218BC4AA">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w:t>
            </w:r>
          </w:p>
        </w:tc>
        <w:tc>
          <w:tcPr>
            <w:tcW w:w="602" w:type="dxa"/>
            <w:noWrap w:val="0"/>
            <w:vAlign w:val="center"/>
          </w:tcPr>
          <w:p w14:paraId="575AC013">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应扣分</w:t>
            </w:r>
          </w:p>
        </w:tc>
        <w:tc>
          <w:tcPr>
            <w:tcW w:w="603" w:type="dxa"/>
            <w:noWrap w:val="0"/>
            <w:vAlign w:val="center"/>
          </w:tcPr>
          <w:p w14:paraId="39283368">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实得分</w:t>
            </w:r>
          </w:p>
        </w:tc>
        <w:tc>
          <w:tcPr>
            <w:tcW w:w="1375" w:type="dxa"/>
            <w:noWrap w:val="0"/>
            <w:vAlign w:val="center"/>
          </w:tcPr>
          <w:p w14:paraId="2BF00366">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整改措施及计划完成时间</w:t>
            </w:r>
          </w:p>
        </w:tc>
        <w:tc>
          <w:tcPr>
            <w:tcW w:w="850" w:type="dxa"/>
            <w:noWrap w:val="0"/>
            <w:vAlign w:val="center"/>
          </w:tcPr>
          <w:p w14:paraId="7AB50134">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整改完成情况</w:t>
            </w:r>
          </w:p>
        </w:tc>
        <w:tc>
          <w:tcPr>
            <w:tcW w:w="709" w:type="dxa"/>
            <w:noWrap w:val="0"/>
            <w:vAlign w:val="center"/>
          </w:tcPr>
          <w:p w14:paraId="01E8BC6B">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责任人/部门</w:t>
            </w:r>
          </w:p>
        </w:tc>
        <w:tc>
          <w:tcPr>
            <w:tcW w:w="508" w:type="dxa"/>
            <w:noWrap w:val="0"/>
            <w:vAlign w:val="center"/>
          </w:tcPr>
          <w:p w14:paraId="19530BCA">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督办人</w:t>
            </w:r>
          </w:p>
        </w:tc>
        <w:tc>
          <w:tcPr>
            <w:tcW w:w="1150" w:type="dxa"/>
            <w:noWrap w:val="0"/>
            <w:vAlign w:val="center"/>
          </w:tcPr>
          <w:p w14:paraId="40E91D60">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是否（√/×）重点问题</w:t>
            </w:r>
          </w:p>
        </w:tc>
      </w:tr>
      <w:tr w14:paraId="743DC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084BEEB1">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709" w:type="dxa"/>
            <w:noWrap w:val="0"/>
            <w:vAlign w:val="center"/>
          </w:tcPr>
          <w:p w14:paraId="292852F8">
            <w:pPr>
              <w:pStyle w:val="17"/>
              <w:spacing w:before="78" w:after="78"/>
              <w:rPr>
                <w:rFonts w:hint="default" w:ascii="Times New Roman" w:hAnsi="Times New Roman" w:eastAsia="仿宋" w:cs="Times New Roman"/>
                <w:sz w:val="24"/>
                <w:szCs w:val="24"/>
              </w:rPr>
            </w:pPr>
          </w:p>
        </w:tc>
        <w:tc>
          <w:tcPr>
            <w:tcW w:w="1177" w:type="dxa"/>
            <w:noWrap w:val="0"/>
            <w:vAlign w:val="center"/>
          </w:tcPr>
          <w:p w14:paraId="78A6E3D5">
            <w:pPr>
              <w:pStyle w:val="17"/>
              <w:spacing w:before="78" w:after="78"/>
              <w:jc w:val="left"/>
              <w:rPr>
                <w:rFonts w:hint="default" w:ascii="Times New Roman" w:hAnsi="Times New Roman" w:eastAsia="仿宋" w:cs="Times New Roman"/>
                <w:sz w:val="24"/>
                <w:szCs w:val="24"/>
              </w:rPr>
            </w:pPr>
          </w:p>
        </w:tc>
        <w:tc>
          <w:tcPr>
            <w:tcW w:w="992" w:type="dxa"/>
            <w:noWrap w:val="0"/>
            <w:vAlign w:val="center"/>
          </w:tcPr>
          <w:p w14:paraId="21357BA7">
            <w:pPr>
              <w:pStyle w:val="17"/>
              <w:spacing w:before="78" w:after="78"/>
              <w:jc w:val="left"/>
              <w:rPr>
                <w:rFonts w:hint="default" w:ascii="Times New Roman" w:hAnsi="Times New Roman" w:eastAsia="仿宋" w:cs="Times New Roman"/>
                <w:sz w:val="24"/>
                <w:szCs w:val="24"/>
              </w:rPr>
            </w:pPr>
          </w:p>
        </w:tc>
        <w:tc>
          <w:tcPr>
            <w:tcW w:w="539" w:type="dxa"/>
            <w:noWrap w:val="0"/>
            <w:vAlign w:val="center"/>
          </w:tcPr>
          <w:p w14:paraId="10C5465D">
            <w:pPr>
              <w:pStyle w:val="17"/>
              <w:spacing w:before="78" w:after="78"/>
              <w:rPr>
                <w:rFonts w:hint="default" w:ascii="Times New Roman" w:hAnsi="Times New Roman" w:eastAsia="仿宋" w:cs="Times New Roman"/>
                <w:sz w:val="24"/>
                <w:szCs w:val="24"/>
              </w:rPr>
            </w:pPr>
          </w:p>
        </w:tc>
        <w:tc>
          <w:tcPr>
            <w:tcW w:w="602" w:type="dxa"/>
            <w:noWrap w:val="0"/>
            <w:vAlign w:val="center"/>
          </w:tcPr>
          <w:p w14:paraId="164E08B8">
            <w:pPr>
              <w:pStyle w:val="17"/>
              <w:spacing w:before="78" w:after="78"/>
              <w:rPr>
                <w:rFonts w:hint="default" w:ascii="Times New Roman" w:hAnsi="Times New Roman" w:eastAsia="仿宋" w:cs="Times New Roman"/>
                <w:sz w:val="24"/>
                <w:szCs w:val="24"/>
              </w:rPr>
            </w:pPr>
          </w:p>
        </w:tc>
        <w:tc>
          <w:tcPr>
            <w:tcW w:w="603" w:type="dxa"/>
            <w:noWrap w:val="0"/>
            <w:vAlign w:val="center"/>
          </w:tcPr>
          <w:p w14:paraId="10810BBB">
            <w:pPr>
              <w:pStyle w:val="17"/>
              <w:spacing w:before="78" w:after="78"/>
              <w:rPr>
                <w:rFonts w:hint="default" w:ascii="Times New Roman" w:hAnsi="Times New Roman" w:eastAsia="仿宋" w:cs="Times New Roman"/>
                <w:sz w:val="24"/>
                <w:szCs w:val="24"/>
              </w:rPr>
            </w:pPr>
          </w:p>
        </w:tc>
        <w:tc>
          <w:tcPr>
            <w:tcW w:w="1375" w:type="dxa"/>
            <w:noWrap w:val="0"/>
            <w:vAlign w:val="center"/>
          </w:tcPr>
          <w:p w14:paraId="77C8600F">
            <w:pPr>
              <w:pStyle w:val="17"/>
              <w:spacing w:before="78" w:after="78"/>
              <w:jc w:val="left"/>
              <w:rPr>
                <w:rFonts w:hint="default" w:ascii="Times New Roman" w:hAnsi="Times New Roman" w:eastAsia="仿宋" w:cs="Times New Roman"/>
                <w:sz w:val="24"/>
                <w:szCs w:val="24"/>
              </w:rPr>
            </w:pPr>
          </w:p>
        </w:tc>
        <w:tc>
          <w:tcPr>
            <w:tcW w:w="850" w:type="dxa"/>
            <w:noWrap w:val="0"/>
            <w:vAlign w:val="center"/>
          </w:tcPr>
          <w:p w14:paraId="710A2AC1">
            <w:pPr>
              <w:pStyle w:val="17"/>
              <w:spacing w:before="78" w:after="78"/>
              <w:rPr>
                <w:rFonts w:hint="default" w:ascii="Times New Roman" w:hAnsi="Times New Roman" w:eastAsia="仿宋" w:cs="Times New Roman"/>
                <w:sz w:val="24"/>
                <w:szCs w:val="24"/>
              </w:rPr>
            </w:pPr>
          </w:p>
        </w:tc>
        <w:tc>
          <w:tcPr>
            <w:tcW w:w="709" w:type="dxa"/>
            <w:noWrap w:val="0"/>
            <w:vAlign w:val="center"/>
          </w:tcPr>
          <w:p w14:paraId="16E121A2">
            <w:pPr>
              <w:pStyle w:val="17"/>
              <w:spacing w:before="78" w:after="78"/>
              <w:rPr>
                <w:rFonts w:hint="default" w:ascii="Times New Roman" w:hAnsi="Times New Roman" w:eastAsia="仿宋" w:cs="Times New Roman"/>
                <w:sz w:val="24"/>
                <w:szCs w:val="24"/>
              </w:rPr>
            </w:pPr>
          </w:p>
        </w:tc>
        <w:tc>
          <w:tcPr>
            <w:tcW w:w="508" w:type="dxa"/>
            <w:noWrap w:val="0"/>
            <w:vAlign w:val="center"/>
          </w:tcPr>
          <w:p w14:paraId="3B87A035">
            <w:pPr>
              <w:pStyle w:val="17"/>
              <w:spacing w:before="78" w:after="78"/>
              <w:rPr>
                <w:rFonts w:hint="default" w:ascii="Times New Roman" w:hAnsi="Times New Roman" w:eastAsia="仿宋" w:cs="Times New Roman"/>
                <w:sz w:val="24"/>
                <w:szCs w:val="24"/>
              </w:rPr>
            </w:pPr>
          </w:p>
        </w:tc>
        <w:tc>
          <w:tcPr>
            <w:tcW w:w="1150" w:type="dxa"/>
            <w:noWrap w:val="0"/>
            <w:vAlign w:val="center"/>
          </w:tcPr>
          <w:p w14:paraId="137D84EB">
            <w:pPr>
              <w:pStyle w:val="17"/>
              <w:spacing w:before="78" w:after="78"/>
              <w:rPr>
                <w:rFonts w:hint="default" w:ascii="Times New Roman" w:hAnsi="Times New Roman" w:eastAsia="仿宋" w:cs="Times New Roman"/>
                <w:sz w:val="24"/>
                <w:szCs w:val="24"/>
              </w:rPr>
            </w:pPr>
          </w:p>
        </w:tc>
      </w:tr>
      <w:tr w14:paraId="10073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3B45039E">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709" w:type="dxa"/>
            <w:noWrap w:val="0"/>
            <w:vAlign w:val="center"/>
          </w:tcPr>
          <w:p w14:paraId="052C2012">
            <w:pPr>
              <w:pStyle w:val="17"/>
              <w:spacing w:before="78" w:after="78"/>
              <w:rPr>
                <w:rFonts w:hint="default" w:ascii="Times New Roman" w:hAnsi="Times New Roman" w:eastAsia="仿宋" w:cs="Times New Roman"/>
                <w:sz w:val="24"/>
                <w:szCs w:val="24"/>
              </w:rPr>
            </w:pPr>
          </w:p>
        </w:tc>
        <w:tc>
          <w:tcPr>
            <w:tcW w:w="1177" w:type="dxa"/>
            <w:noWrap w:val="0"/>
            <w:vAlign w:val="center"/>
          </w:tcPr>
          <w:p w14:paraId="2E77193B">
            <w:pPr>
              <w:pStyle w:val="17"/>
              <w:spacing w:before="78" w:after="78"/>
              <w:rPr>
                <w:rFonts w:hint="default" w:ascii="Times New Roman" w:hAnsi="Times New Roman" w:eastAsia="仿宋" w:cs="Times New Roman"/>
                <w:sz w:val="24"/>
                <w:szCs w:val="24"/>
              </w:rPr>
            </w:pPr>
          </w:p>
        </w:tc>
        <w:tc>
          <w:tcPr>
            <w:tcW w:w="992" w:type="dxa"/>
            <w:noWrap w:val="0"/>
            <w:vAlign w:val="center"/>
          </w:tcPr>
          <w:p w14:paraId="1C338DD5">
            <w:pPr>
              <w:pStyle w:val="17"/>
              <w:spacing w:before="78" w:after="78"/>
              <w:rPr>
                <w:rFonts w:hint="default" w:ascii="Times New Roman" w:hAnsi="Times New Roman" w:eastAsia="仿宋" w:cs="Times New Roman"/>
                <w:sz w:val="24"/>
                <w:szCs w:val="24"/>
              </w:rPr>
            </w:pPr>
          </w:p>
        </w:tc>
        <w:tc>
          <w:tcPr>
            <w:tcW w:w="539" w:type="dxa"/>
            <w:noWrap w:val="0"/>
            <w:vAlign w:val="center"/>
          </w:tcPr>
          <w:p w14:paraId="299487B7">
            <w:pPr>
              <w:pStyle w:val="17"/>
              <w:spacing w:before="78" w:after="78"/>
              <w:rPr>
                <w:rFonts w:hint="default" w:ascii="Times New Roman" w:hAnsi="Times New Roman" w:eastAsia="仿宋" w:cs="Times New Roman"/>
                <w:sz w:val="24"/>
                <w:szCs w:val="24"/>
              </w:rPr>
            </w:pPr>
          </w:p>
        </w:tc>
        <w:tc>
          <w:tcPr>
            <w:tcW w:w="602" w:type="dxa"/>
            <w:noWrap w:val="0"/>
            <w:vAlign w:val="center"/>
          </w:tcPr>
          <w:p w14:paraId="4AC37BBF">
            <w:pPr>
              <w:pStyle w:val="17"/>
              <w:spacing w:before="78" w:after="78"/>
              <w:rPr>
                <w:rFonts w:hint="default" w:ascii="Times New Roman" w:hAnsi="Times New Roman" w:eastAsia="仿宋" w:cs="Times New Roman"/>
                <w:sz w:val="24"/>
                <w:szCs w:val="24"/>
              </w:rPr>
            </w:pPr>
          </w:p>
        </w:tc>
        <w:tc>
          <w:tcPr>
            <w:tcW w:w="603" w:type="dxa"/>
            <w:noWrap w:val="0"/>
            <w:vAlign w:val="center"/>
          </w:tcPr>
          <w:p w14:paraId="4748BD72">
            <w:pPr>
              <w:pStyle w:val="17"/>
              <w:spacing w:before="78" w:after="78"/>
              <w:rPr>
                <w:rFonts w:hint="default" w:ascii="Times New Roman" w:hAnsi="Times New Roman" w:eastAsia="仿宋" w:cs="Times New Roman"/>
                <w:sz w:val="24"/>
                <w:szCs w:val="24"/>
              </w:rPr>
            </w:pPr>
          </w:p>
        </w:tc>
        <w:tc>
          <w:tcPr>
            <w:tcW w:w="1375" w:type="dxa"/>
            <w:noWrap w:val="0"/>
            <w:vAlign w:val="center"/>
          </w:tcPr>
          <w:p w14:paraId="05B25689">
            <w:pPr>
              <w:pStyle w:val="17"/>
              <w:spacing w:before="78" w:after="78"/>
              <w:rPr>
                <w:rFonts w:hint="default" w:ascii="Times New Roman" w:hAnsi="Times New Roman" w:eastAsia="仿宋" w:cs="Times New Roman"/>
                <w:sz w:val="24"/>
                <w:szCs w:val="24"/>
              </w:rPr>
            </w:pPr>
          </w:p>
        </w:tc>
        <w:tc>
          <w:tcPr>
            <w:tcW w:w="850" w:type="dxa"/>
            <w:noWrap w:val="0"/>
            <w:vAlign w:val="center"/>
          </w:tcPr>
          <w:p w14:paraId="13B2BF79">
            <w:pPr>
              <w:pStyle w:val="17"/>
              <w:spacing w:before="78" w:after="78"/>
              <w:rPr>
                <w:rFonts w:hint="default" w:ascii="Times New Roman" w:hAnsi="Times New Roman" w:eastAsia="仿宋" w:cs="Times New Roman"/>
                <w:sz w:val="24"/>
                <w:szCs w:val="24"/>
              </w:rPr>
            </w:pPr>
          </w:p>
        </w:tc>
        <w:tc>
          <w:tcPr>
            <w:tcW w:w="709" w:type="dxa"/>
            <w:noWrap w:val="0"/>
            <w:vAlign w:val="center"/>
          </w:tcPr>
          <w:p w14:paraId="2C41702F">
            <w:pPr>
              <w:pStyle w:val="17"/>
              <w:spacing w:before="78" w:after="78"/>
              <w:rPr>
                <w:rFonts w:hint="default" w:ascii="Times New Roman" w:hAnsi="Times New Roman" w:eastAsia="仿宋" w:cs="Times New Roman"/>
                <w:sz w:val="24"/>
                <w:szCs w:val="24"/>
              </w:rPr>
            </w:pPr>
          </w:p>
        </w:tc>
        <w:tc>
          <w:tcPr>
            <w:tcW w:w="508" w:type="dxa"/>
            <w:noWrap w:val="0"/>
            <w:vAlign w:val="center"/>
          </w:tcPr>
          <w:p w14:paraId="1CF707E3">
            <w:pPr>
              <w:pStyle w:val="17"/>
              <w:spacing w:before="78" w:after="78"/>
              <w:rPr>
                <w:rFonts w:hint="default" w:ascii="Times New Roman" w:hAnsi="Times New Roman" w:eastAsia="仿宋" w:cs="Times New Roman"/>
                <w:sz w:val="24"/>
                <w:szCs w:val="24"/>
              </w:rPr>
            </w:pPr>
          </w:p>
        </w:tc>
        <w:tc>
          <w:tcPr>
            <w:tcW w:w="1150" w:type="dxa"/>
            <w:noWrap w:val="0"/>
            <w:vAlign w:val="center"/>
          </w:tcPr>
          <w:p w14:paraId="695F5AE7">
            <w:pPr>
              <w:pStyle w:val="17"/>
              <w:spacing w:before="78" w:after="78"/>
              <w:rPr>
                <w:rFonts w:hint="default" w:ascii="Times New Roman" w:hAnsi="Times New Roman" w:eastAsia="仿宋" w:cs="Times New Roman"/>
                <w:sz w:val="24"/>
                <w:szCs w:val="24"/>
              </w:rPr>
            </w:pPr>
          </w:p>
        </w:tc>
      </w:tr>
      <w:tr w14:paraId="7D39C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0BD31368">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3</w:t>
            </w:r>
          </w:p>
        </w:tc>
        <w:tc>
          <w:tcPr>
            <w:tcW w:w="709" w:type="dxa"/>
            <w:noWrap w:val="0"/>
            <w:vAlign w:val="center"/>
          </w:tcPr>
          <w:p w14:paraId="27025BBF">
            <w:pPr>
              <w:pStyle w:val="17"/>
              <w:spacing w:before="78" w:after="78"/>
              <w:rPr>
                <w:rFonts w:hint="default" w:ascii="Times New Roman" w:hAnsi="Times New Roman" w:eastAsia="仿宋" w:cs="Times New Roman"/>
                <w:sz w:val="24"/>
                <w:szCs w:val="24"/>
              </w:rPr>
            </w:pPr>
          </w:p>
        </w:tc>
        <w:tc>
          <w:tcPr>
            <w:tcW w:w="1177" w:type="dxa"/>
            <w:noWrap w:val="0"/>
            <w:vAlign w:val="center"/>
          </w:tcPr>
          <w:p w14:paraId="01B5DCE9">
            <w:pPr>
              <w:pStyle w:val="17"/>
              <w:spacing w:before="78" w:after="78"/>
              <w:rPr>
                <w:rFonts w:hint="default" w:ascii="Times New Roman" w:hAnsi="Times New Roman" w:eastAsia="仿宋" w:cs="Times New Roman"/>
                <w:sz w:val="24"/>
                <w:szCs w:val="24"/>
              </w:rPr>
            </w:pPr>
          </w:p>
        </w:tc>
        <w:tc>
          <w:tcPr>
            <w:tcW w:w="992" w:type="dxa"/>
            <w:noWrap w:val="0"/>
            <w:vAlign w:val="center"/>
          </w:tcPr>
          <w:p w14:paraId="3A663164">
            <w:pPr>
              <w:pStyle w:val="17"/>
              <w:spacing w:before="78" w:after="78"/>
              <w:rPr>
                <w:rFonts w:hint="default" w:ascii="Times New Roman" w:hAnsi="Times New Roman" w:eastAsia="仿宋" w:cs="Times New Roman"/>
                <w:sz w:val="24"/>
                <w:szCs w:val="24"/>
              </w:rPr>
            </w:pPr>
          </w:p>
        </w:tc>
        <w:tc>
          <w:tcPr>
            <w:tcW w:w="539" w:type="dxa"/>
            <w:noWrap w:val="0"/>
            <w:vAlign w:val="center"/>
          </w:tcPr>
          <w:p w14:paraId="074548C8">
            <w:pPr>
              <w:pStyle w:val="17"/>
              <w:spacing w:before="78" w:after="78"/>
              <w:rPr>
                <w:rFonts w:hint="default" w:ascii="Times New Roman" w:hAnsi="Times New Roman" w:eastAsia="仿宋" w:cs="Times New Roman"/>
                <w:sz w:val="24"/>
                <w:szCs w:val="24"/>
              </w:rPr>
            </w:pPr>
          </w:p>
        </w:tc>
        <w:tc>
          <w:tcPr>
            <w:tcW w:w="602" w:type="dxa"/>
            <w:noWrap w:val="0"/>
            <w:vAlign w:val="center"/>
          </w:tcPr>
          <w:p w14:paraId="3471212A">
            <w:pPr>
              <w:pStyle w:val="17"/>
              <w:spacing w:before="78" w:after="78"/>
              <w:rPr>
                <w:rFonts w:hint="default" w:ascii="Times New Roman" w:hAnsi="Times New Roman" w:eastAsia="仿宋" w:cs="Times New Roman"/>
                <w:sz w:val="24"/>
                <w:szCs w:val="24"/>
              </w:rPr>
            </w:pPr>
          </w:p>
        </w:tc>
        <w:tc>
          <w:tcPr>
            <w:tcW w:w="603" w:type="dxa"/>
            <w:noWrap w:val="0"/>
            <w:vAlign w:val="center"/>
          </w:tcPr>
          <w:p w14:paraId="2AE69817">
            <w:pPr>
              <w:pStyle w:val="17"/>
              <w:spacing w:before="78" w:after="78"/>
              <w:rPr>
                <w:rFonts w:hint="default" w:ascii="Times New Roman" w:hAnsi="Times New Roman" w:eastAsia="仿宋" w:cs="Times New Roman"/>
                <w:sz w:val="24"/>
                <w:szCs w:val="24"/>
              </w:rPr>
            </w:pPr>
          </w:p>
        </w:tc>
        <w:tc>
          <w:tcPr>
            <w:tcW w:w="1375" w:type="dxa"/>
            <w:noWrap w:val="0"/>
            <w:vAlign w:val="center"/>
          </w:tcPr>
          <w:p w14:paraId="27052D09">
            <w:pPr>
              <w:pStyle w:val="17"/>
              <w:spacing w:before="78" w:after="78"/>
              <w:rPr>
                <w:rFonts w:hint="default" w:ascii="Times New Roman" w:hAnsi="Times New Roman" w:eastAsia="仿宋" w:cs="Times New Roman"/>
                <w:sz w:val="24"/>
                <w:szCs w:val="24"/>
              </w:rPr>
            </w:pPr>
          </w:p>
        </w:tc>
        <w:tc>
          <w:tcPr>
            <w:tcW w:w="850" w:type="dxa"/>
            <w:noWrap w:val="0"/>
            <w:vAlign w:val="center"/>
          </w:tcPr>
          <w:p w14:paraId="456C38F4">
            <w:pPr>
              <w:pStyle w:val="17"/>
              <w:spacing w:before="78" w:after="78"/>
              <w:rPr>
                <w:rFonts w:hint="default" w:ascii="Times New Roman" w:hAnsi="Times New Roman" w:eastAsia="仿宋" w:cs="Times New Roman"/>
                <w:sz w:val="24"/>
                <w:szCs w:val="24"/>
              </w:rPr>
            </w:pPr>
          </w:p>
        </w:tc>
        <w:tc>
          <w:tcPr>
            <w:tcW w:w="709" w:type="dxa"/>
            <w:noWrap w:val="0"/>
            <w:vAlign w:val="center"/>
          </w:tcPr>
          <w:p w14:paraId="416F1241">
            <w:pPr>
              <w:pStyle w:val="17"/>
              <w:spacing w:before="78" w:after="78"/>
              <w:rPr>
                <w:rFonts w:hint="default" w:ascii="Times New Roman" w:hAnsi="Times New Roman" w:eastAsia="仿宋" w:cs="Times New Roman"/>
                <w:sz w:val="24"/>
                <w:szCs w:val="24"/>
              </w:rPr>
            </w:pPr>
          </w:p>
        </w:tc>
        <w:tc>
          <w:tcPr>
            <w:tcW w:w="508" w:type="dxa"/>
            <w:noWrap w:val="0"/>
            <w:vAlign w:val="center"/>
          </w:tcPr>
          <w:p w14:paraId="07E17D4B">
            <w:pPr>
              <w:pStyle w:val="17"/>
              <w:spacing w:before="78" w:after="78"/>
              <w:rPr>
                <w:rFonts w:hint="default" w:ascii="Times New Roman" w:hAnsi="Times New Roman" w:eastAsia="仿宋" w:cs="Times New Roman"/>
                <w:sz w:val="24"/>
                <w:szCs w:val="24"/>
              </w:rPr>
            </w:pPr>
          </w:p>
        </w:tc>
        <w:tc>
          <w:tcPr>
            <w:tcW w:w="1150" w:type="dxa"/>
            <w:noWrap w:val="0"/>
            <w:vAlign w:val="center"/>
          </w:tcPr>
          <w:p w14:paraId="0CA6E906">
            <w:pPr>
              <w:pStyle w:val="17"/>
              <w:spacing w:before="78" w:after="78"/>
              <w:rPr>
                <w:rFonts w:hint="default" w:ascii="Times New Roman" w:hAnsi="Times New Roman" w:eastAsia="仿宋" w:cs="Times New Roman"/>
                <w:sz w:val="24"/>
                <w:szCs w:val="24"/>
              </w:rPr>
            </w:pPr>
          </w:p>
        </w:tc>
      </w:tr>
    </w:tbl>
    <w:p w14:paraId="3CA9264B">
      <w:pPr>
        <w:pStyle w:val="17"/>
        <w:spacing w:before="78" w:after="78"/>
        <w:rPr>
          <w:rFonts w:hint="default" w:ascii="Times New Roman" w:hAnsi="Times New Roman" w:cs="Times New Roman"/>
        </w:rPr>
      </w:pPr>
    </w:p>
    <w:p w14:paraId="434D7FCA">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3.整改措施要有依据，切合实际，并具有针对性和可操作性。整改结束后，对具体情况进行描述，可用照片方式作为附件。</w:t>
      </w:r>
    </w:p>
    <w:p w14:paraId="10395143">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lang w:val="en-US" w:eastAsia="zh-CN"/>
        </w:rPr>
      </w:pPr>
    </w:p>
    <w:p w14:paraId="3E51A243">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五</w:t>
      </w:r>
      <w:r>
        <w:rPr>
          <w:rFonts w:hint="default" w:ascii="Times New Roman" w:hAnsi="Times New Roman" w:eastAsia="黑体" w:cs="Times New Roman"/>
          <w:b w:val="0"/>
          <w:sz w:val="32"/>
          <w:szCs w:val="32"/>
        </w:rPr>
        <w:t>、安全生产标准化自评打分表</w:t>
      </w:r>
    </w:p>
    <w:p w14:paraId="7C68B74C">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“自评描述”一栏中，详细写明具体查评内容，查评结果必须要有依据作为支撑。在有扣分的项目“自评描述”内容建议用黑色以外的其他字体标示出来。</w:t>
      </w:r>
    </w:p>
    <w:p w14:paraId="587D1000">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六</w:t>
      </w:r>
      <w:r>
        <w:rPr>
          <w:rFonts w:hint="default" w:ascii="Times New Roman" w:hAnsi="Times New Roman" w:eastAsia="黑体" w:cs="Times New Roman"/>
          <w:b w:val="0"/>
          <w:sz w:val="32"/>
          <w:szCs w:val="32"/>
        </w:rPr>
        <w:t>、自主评定结果</w:t>
      </w:r>
    </w:p>
    <w:p w14:paraId="6AD60F9D">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主要写明自评结果，列出各一级项目得分情况（表2）。</w:t>
      </w:r>
    </w:p>
    <w:p w14:paraId="40E83327">
      <w:pPr>
        <w:pStyle w:val="16"/>
        <w:spacing w:before="234" w:after="78"/>
        <w:rPr>
          <w:rFonts w:hint="default" w:ascii="Times New Roman" w:hAnsi="Times New Roman" w:cs="Times New Roman"/>
          <w:b/>
          <w:sz w:val="28"/>
          <w:szCs w:val="28"/>
        </w:rPr>
      </w:pPr>
      <w:r>
        <w:rPr>
          <w:rFonts w:hint="default" w:ascii="Times New Roman" w:hAnsi="Times New Roman" w:cs="Times New Roman"/>
          <w:b/>
          <w:sz w:val="28"/>
          <w:szCs w:val="28"/>
        </w:rPr>
        <w:t>表2 单位自评得分总体情况表（8个一级项目）</w:t>
      </w:r>
    </w:p>
    <w:tbl>
      <w:tblPr>
        <w:tblStyle w:val="9"/>
        <w:tblW w:w="96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556"/>
        <w:gridCol w:w="742"/>
        <w:gridCol w:w="751"/>
        <w:gridCol w:w="751"/>
        <w:gridCol w:w="809"/>
        <w:gridCol w:w="840"/>
        <w:gridCol w:w="841"/>
        <w:gridCol w:w="702"/>
        <w:gridCol w:w="924"/>
      </w:tblGrid>
      <w:tr w14:paraId="0D5F8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702" w:type="dxa"/>
            <w:vMerge w:val="restart"/>
            <w:noWrap w:val="0"/>
            <w:vAlign w:val="center"/>
          </w:tcPr>
          <w:p w14:paraId="464C7117">
            <w:pPr>
              <w:pStyle w:val="17"/>
              <w:adjustRightInd/>
              <w:spacing w:before="60" w:after="60"/>
              <w:ind w:left="-69" w:leftChars="-33" w:right="-76" w:rightChars="-36"/>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2556" w:type="dxa"/>
            <w:vMerge w:val="restart"/>
            <w:noWrap w:val="0"/>
            <w:vAlign w:val="center"/>
          </w:tcPr>
          <w:p w14:paraId="0448AA41">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评审项目</w:t>
            </w:r>
          </w:p>
          <w:p w14:paraId="5C2EBC39">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（标准分值）</w:t>
            </w:r>
          </w:p>
        </w:tc>
        <w:tc>
          <w:tcPr>
            <w:tcW w:w="3053" w:type="dxa"/>
            <w:gridSpan w:val="4"/>
            <w:noWrap w:val="0"/>
            <w:vAlign w:val="center"/>
          </w:tcPr>
          <w:p w14:paraId="6B9AF4F5">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项目数或重点问题数（个）</w:t>
            </w:r>
          </w:p>
        </w:tc>
        <w:tc>
          <w:tcPr>
            <w:tcW w:w="3307" w:type="dxa"/>
            <w:gridSpan w:val="4"/>
            <w:noWrap w:val="0"/>
            <w:vAlign w:val="center"/>
          </w:tcPr>
          <w:p w14:paraId="20CCF10A">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分值（分）及得分率（%）</w:t>
            </w:r>
          </w:p>
        </w:tc>
      </w:tr>
      <w:tr w14:paraId="18B6C8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02" w:type="dxa"/>
            <w:vMerge w:val="continue"/>
            <w:noWrap w:val="0"/>
            <w:vAlign w:val="center"/>
          </w:tcPr>
          <w:p w14:paraId="1FB9D120">
            <w:pPr>
              <w:pStyle w:val="17"/>
              <w:adjustRightInd/>
              <w:spacing w:before="60" w:after="60"/>
              <w:contextualSpacing/>
              <w:rPr>
                <w:rFonts w:hint="default" w:ascii="Times New Roman" w:hAnsi="Times New Roman" w:eastAsia="仿宋_GB2312" w:cs="Times New Roman"/>
                <w:b/>
                <w:sz w:val="24"/>
                <w:szCs w:val="24"/>
              </w:rPr>
            </w:pPr>
          </w:p>
        </w:tc>
        <w:tc>
          <w:tcPr>
            <w:tcW w:w="2556" w:type="dxa"/>
            <w:vMerge w:val="continue"/>
            <w:noWrap w:val="0"/>
            <w:vAlign w:val="center"/>
          </w:tcPr>
          <w:p w14:paraId="41E581C5">
            <w:pPr>
              <w:pStyle w:val="17"/>
              <w:adjustRightInd/>
              <w:spacing w:before="60" w:after="60"/>
              <w:contextualSpacing/>
              <w:rPr>
                <w:rFonts w:hint="default" w:ascii="Times New Roman" w:hAnsi="Times New Roman" w:eastAsia="仿宋_GB2312" w:cs="Times New Roman"/>
                <w:b/>
                <w:sz w:val="24"/>
                <w:szCs w:val="24"/>
              </w:rPr>
            </w:pPr>
          </w:p>
        </w:tc>
        <w:tc>
          <w:tcPr>
            <w:tcW w:w="742" w:type="dxa"/>
            <w:noWrap w:val="0"/>
            <w:vAlign w:val="center"/>
          </w:tcPr>
          <w:p w14:paraId="66ED9A4C">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w:t>
            </w:r>
          </w:p>
        </w:tc>
        <w:tc>
          <w:tcPr>
            <w:tcW w:w="751" w:type="dxa"/>
            <w:noWrap w:val="0"/>
            <w:vAlign w:val="center"/>
          </w:tcPr>
          <w:p w14:paraId="1AE25B1E">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查评项</w:t>
            </w:r>
          </w:p>
        </w:tc>
        <w:tc>
          <w:tcPr>
            <w:tcW w:w="751" w:type="dxa"/>
            <w:noWrap w:val="0"/>
            <w:vAlign w:val="center"/>
          </w:tcPr>
          <w:p w14:paraId="64F30D03">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扣分项</w:t>
            </w:r>
          </w:p>
        </w:tc>
        <w:tc>
          <w:tcPr>
            <w:tcW w:w="809" w:type="dxa"/>
            <w:noWrap w:val="0"/>
            <w:vAlign w:val="center"/>
          </w:tcPr>
          <w:p w14:paraId="34E1536C">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重点问题</w:t>
            </w:r>
          </w:p>
        </w:tc>
        <w:tc>
          <w:tcPr>
            <w:tcW w:w="840" w:type="dxa"/>
            <w:noWrap w:val="0"/>
            <w:vAlign w:val="center"/>
          </w:tcPr>
          <w:p w14:paraId="11F3D364">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w:t>
            </w:r>
          </w:p>
        </w:tc>
        <w:tc>
          <w:tcPr>
            <w:tcW w:w="841" w:type="dxa"/>
            <w:noWrap w:val="0"/>
            <w:vAlign w:val="center"/>
          </w:tcPr>
          <w:p w14:paraId="3A788D8B">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应得分</w:t>
            </w:r>
          </w:p>
        </w:tc>
        <w:tc>
          <w:tcPr>
            <w:tcW w:w="702" w:type="dxa"/>
            <w:noWrap w:val="0"/>
            <w:vAlign w:val="center"/>
          </w:tcPr>
          <w:p w14:paraId="0C9B1C0B">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实得分</w:t>
            </w:r>
          </w:p>
        </w:tc>
        <w:tc>
          <w:tcPr>
            <w:tcW w:w="924" w:type="dxa"/>
            <w:noWrap w:val="0"/>
            <w:vAlign w:val="center"/>
          </w:tcPr>
          <w:p w14:paraId="6AA48A25">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得分率</w:t>
            </w:r>
          </w:p>
        </w:tc>
      </w:tr>
      <w:tr w14:paraId="49298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3192366F">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2556" w:type="dxa"/>
            <w:noWrap w:val="0"/>
            <w:vAlign w:val="center"/>
          </w:tcPr>
          <w:p w14:paraId="5C934BD5">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目标职责（</w:t>
            </w:r>
            <w:r>
              <w:rPr>
                <w:rFonts w:hint="default" w:ascii="Times New Roman" w:hAnsi="Times New Roman" w:eastAsia="仿宋_GB2312" w:cs="Times New Roman"/>
                <w:sz w:val="24"/>
                <w:szCs w:val="24"/>
                <w:lang w:val="en-US" w:eastAsia="zh-CN"/>
              </w:rPr>
              <w:t>60</w:t>
            </w:r>
            <w:r>
              <w:rPr>
                <w:rFonts w:hint="default" w:ascii="Times New Roman" w:hAnsi="Times New Roman" w:eastAsia="仿宋_GB2312" w:cs="Times New Roman"/>
                <w:sz w:val="24"/>
                <w:szCs w:val="24"/>
              </w:rPr>
              <w:t>分）</w:t>
            </w:r>
          </w:p>
        </w:tc>
        <w:tc>
          <w:tcPr>
            <w:tcW w:w="742" w:type="dxa"/>
            <w:noWrap w:val="0"/>
            <w:vAlign w:val="center"/>
          </w:tcPr>
          <w:p w14:paraId="285369B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258B3DFE">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C0F5E1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F435AC9">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7F6BE94F">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4A9CFFA">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29D3CE8E">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07FF74BF">
            <w:pPr>
              <w:pStyle w:val="17"/>
              <w:adjustRightInd/>
              <w:spacing w:before="60" w:after="60"/>
              <w:contextualSpacing/>
              <w:rPr>
                <w:rFonts w:hint="default" w:ascii="Times New Roman" w:hAnsi="Times New Roman" w:eastAsia="仿宋_GB2312" w:cs="Times New Roman"/>
                <w:sz w:val="24"/>
                <w:szCs w:val="24"/>
              </w:rPr>
            </w:pPr>
          </w:p>
        </w:tc>
      </w:tr>
      <w:tr w14:paraId="749B3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3045A400">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2556" w:type="dxa"/>
            <w:noWrap w:val="0"/>
            <w:vAlign w:val="center"/>
          </w:tcPr>
          <w:p w14:paraId="5E220C8B">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制度化管理（</w:t>
            </w: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0分）</w:t>
            </w:r>
          </w:p>
        </w:tc>
        <w:tc>
          <w:tcPr>
            <w:tcW w:w="742" w:type="dxa"/>
            <w:noWrap w:val="0"/>
            <w:vAlign w:val="center"/>
          </w:tcPr>
          <w:p w14:paraId="3A190793">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2CCAB95D">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19E54E5C">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BE8F061">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415456FC">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3A1F2E1">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718BB68">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94BF573">
            <w:pPr>
              <w:pStyle w:val="17"/>
              <w:adjustRightInd/>
              <w:spacing w:before="60" w:after="60"/>
              <w:contextualSpacing/>
              <w:rPr>
                <w:rFonts w:hint="default" w:ascii="Times New Roman" w:hAnsi="Times New Roman" w:eastAsia="仿宋_GB2312" w:cs="Times New Roman"/>
                <w:sz w:val="24"/>
                <w:szCs w:val="24"/>
              </w:rPr>
            </w:pPr>
          </w:p>
        </w:tc>
      </w:tr>
      <w:tr w14:paraId="1A17E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7BB6894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2556" w:type="dxa"/>
            <w:noWrap w:val="0"/>
            <w:vAlign w:val="center"/>
          </w:tcPr>
          <w:p w14:paraId="6E88519E">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教育培训（</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0分）</w:t>
            </w:r>
          </w:p>
        </w:tc>
        <w:tc>
          <w:tcPr>
            <w:tcW w:w="742" w:type="dxa"/>
            <w:noWrap w:val="0"/>
            <w:vAlign w:val="center"/>
          </w:tcPr>
          <w:p w14:paraId="13A0008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18EDE78">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49DDC562">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086A66DA">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31820EED">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141FC066">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648003D7">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4EBA0683">
            <w:pPr>
              <w:pStyle w:val="17"/>
              <w:adjustRightInd/>
              <w:spacing w:before="60" w:after="60"/>
              <w:contextualSpacing/>
              <w:rPr>
                <w:rFonts w:hint="default" w:ascii="Times New Roman" w:hAnsi="Times New Roman" w:eastAsia="仿宋_GB2312" w:cs="Times New Roman"/>
                <w:sz w:val="24"/>
                <w:szCs w:val="24"/>
              </w:rPr>
            </w:pPr>
          </w:p>
        </w:tc>
      </w:tr>
      <w:tr w14:paraId="7FE1E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6AC4D2FF">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2556" w:type="dxa"/>
            <w:noWrap w:val="0"/>
            <w:vAlign w:val="center"/>
          </w:tcPr>
          <w:p w14:paraId="09786E50">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现场管理（</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00分）</w:t>
            </w:r>
          </w:p>
        </w:tc>
        <w:tc>
          <w:tcPr>
            <w:tcW w:w="742" w:type="dxa"/>
            <w:noWrap w:val="0"/>
            <w:vAlign w:val="center"/>
          </w:tcPr>
          <w:p w14:paraId="136B0406">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B8180F2">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ED296A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335CA626">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128ED86">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3A40DDB1">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73E1BB2C">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6C162C76">
            <w:pPr>
              <w:pStyle w:val="17"/>
              <w:adjustRightInd/>
              <w:spacing w:before="60" w:after="60"/>
              <w:contextualSpacing/>
              <w:rPr>
                <w:rFonts w:hint="default" w:ascii="Times New Roman" w:hAnsi="Times New Roman" w:eastAsia="仿宋_GB2312" w:cs="Times New Roman"/>
                <w:sz w:val="24"/>
                <w:szCs w:val="24"/>
              </w:rPr>
            </w:pPr>
          </w:p>
        </w:tc>
      </w:tr>
      <w:tr w14:paraId="4E5A4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02" w:type="dxa"/>
            <w:noWrap w:val="0"/>
            <w:vAlign w:val="center"/>
          </w:tcPr>
          <w:p w14:paraId="64BAED7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2556" w:type="dxa"/>
            <w:noWrap w:val="0"/>
            <w:vAlign w:val="center"/>
          </w:tcPr>
          <w:p w14:paraId="4B56C6A5">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安全风险管控及隐患排查治理（130分）</w:t>
            </w:r>
          </w:p>
        </w:tc>
        <w:tc>
          <w:tcPr>
            <w:tcW w:w="742" w:type="dxa"/>
            <w:noWrap w:val="0"/>
            <w:vAlign w:val="center"/>
          </w:tcPr>
          <w:p w14:paraId="52B9E0E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47985DF6">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BF8DB4C">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7B9AFF0">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47CF686">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53B1CAE">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761E4188">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630E37CD">
            <w:pPr>
              <w:pStyle w:val="17"/>
              <w:adjustRightInd/>
              <w:spacing w:before="60" w:after="60"/>
              <w:contextualSpacing/>
              <w:rPr>
                <w:rFonts w:hint="default" w:ascii="Times New Roman" w:hAnsi="Times New Roman" w:eastAsia="仿宋_GB2312" w:cs="Times New Roman"/>
                <w:sz w:val="24"/>
                <w:szCs w:val="24"/>
              </w:rPr>
            </w:pPr>
          </w:p>
        </w:tc>
      </w:tr>
      <w:tr w14:paraId="6D16C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0EC2C52A">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2556" w:type="dxa"/>
            <w:noWrap w:val="0"/>
            <w:vAlign w:val="center"/>
          </w:tcPr>
          <w:p w14:paraId="2C2D2579">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应急管理（40分）</w:t>
            </w:r>
          </w:p>
        </w:tc>
        <w:tc>
          <w:tcPr>
            <w:tcW w:w="742" w:type="dxa"/>
            <w:noWrap w:val="0"/>
            <w:vAlign w:val="center"/>
          </w:tcPr>
          <w:p w14:paraId="69E746AA">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68CE3F1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7DA4FE4">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500EC06F">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74BBEDE">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8FEF04F">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24266521">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5C01BB5F">
            <w:pPr>
              <w:pStyle w:val="17"/>
              <w:adjustRightInd/>
              <w:spacing w:before="60" w:after="60"/>
              <w:contextualSpacing/>
              <w:rPr>
                <w:rFonts w:hint="default" w:ascii="Times New Roman" w:hAnsi="Times New Roman" w:eastAsia="仿宋_GB2312" w:cs="Times New Roman"/>
                <w:sz w:val="24"/>
                <w:szCs w:val="24"/>
              </w:rPr>
            </w:pPr>
          </w:p>
        </w:tc>
      </w:tr>
      <w:tr w14:paraId="20E138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5E4967DB">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2556" w:type="dxa"/>
            <w:noWrap w:val="0"/>
            <w:vAlign w:val="center"/>
          </w:tcPr>
          <w:p w14:paraId="115A161B">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事故管理（</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0分）</w:t>
            </w:r>
          </w:p>
        </w:tc>
        <w:tc>
          <w:tcPr>
            <w:tcW w:w="742" w:type="dxa"/>
            <w:noWrap w:val="0"/>
            <w:vAlign w:val="center"/>
          </w:tcPr>
          <w:p w14:paraId="38F4BD74">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472F43B">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26347A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5019FC27">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30350ED2">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1D479777">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008D6F12">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A84D7A1">
            <w:pPr>
              <w:pStyle w:val="17"/>
              <w:adjustRightInd/>
              <w:spacing w:before="60" w:after="60"/>
              <w:contextualSpacing/>
              <w:rPr>
                <w:rFonts w:hint="default" w:ascii="Times New Roman" w:hAnsi="Times New Roman" w:eastAsia="仿宋_GB2312" w:cs="Times New Roman"/>
                <w:sz w:val="24"/>
                <w:szCs w:val="24"/>
              </w:rPr>
            </w:pPr>
          </w:p>
        </w:tc>
      </w:tr>
      <w:tr w14:paraId="76D299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57AE09F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p>
        </w:tc>
        <w:tc>
          <w:tcPr>
            <w:tcW w:w="2556" w:type="dxa"/>
            <w:noWrap w:val="0"/>
            <w:vAlign w:val="center"/>
          </w:tcPr>
          <w:p w14:paraId="2F13A3E9">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持续改进（20分）</w:t>
            </w:r>
          </w:p>
        </w:tc>
        <w:tc>
          <w:tcPr>
            <w:tcW w:w="742" w:type="dxa"/>
            <w:noWrap w:val="0"/>
            <w:vAlign w:val="center"/>
          </w:tcPr>
          <w:p w14:paraId="2A6CD12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AEB4E9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080C136">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38731D6">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BF95492">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50664755">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B4C3E72">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4B51512A">
            <w:pPr>
              <w:pStyle w:val="17"/>
              <w:adjustRightInd/>
              <w:spacing w:before="60" w:after="60"/>
              <w:contextualSpacing/>
              <w:rPr>
                <w:rFonts w:hint="default" w:ascii="Times New Roman" w:hAnsi="Times New Roman" w:eastAsia="仿宋_GB2312" w:cs="Times New Roman"/>
                <w:sz w:val="24"/>
                <w:szCs w:val="24"/>
              </w:rPr>
            </w:pPr>
          </w:p>
        </w:tc>
      </w:tr>
      <w:tr w14:paraId="5D90B3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258" w:type="dxa"/>
            <w:gridSpan w:val="2"/>
            <w:noWrap w:val="0"/>
            <w:vAlign w:val="center"/>
          </w:tcPr>
          <w:p w14:paraId="2E70E05E">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合计</w:t>
            </w:r>
          </w:p>
        </w:tc>
        <w:tc>
          <w:tcPr>
            <w:tcW w:w="742" w:type="dxa"/>
            <w:noWrap w:val="0"/>
            <w:vAlign w:val="center"/>
          </w:tcPr>
          <w:p w14:paraId="70D2D78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7810F79">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87A0864">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B3B896C">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0781F589">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A62D0FA">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86F5621">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D032A93">
            <w:pPr>
              <w:pStyle w:val="17"/>
              <w:adjustRightInd/>
              <w:spacing w:before="60" w:after="60"/>
              <w:contextualSpacing/>
              <w:rPr>
                <w:rFonts w:hint="default" w:ascii="Times New Roman" w:hAnsi="Times New Roman" w:eastAsia="仿宋_GB2312" w:cs="Times New Roman"/>
                <w:sz w:val="24"/>
                <w:szCs w:val="24"/>
              </w:rPr>
            </w:pPr>
          </w:p>
        </w:tc>
      </w:tr>
    </w:tbl>
    <w:p w14:paraId="7F17D2AF">
      <w:pPr>
        <w:pStyle w:val="17"/>
        <w:spacing w:before="60" w:after="60"/>
        <w:rPr>
          <w:rFonts w:hint="default" w:ascii="Times New Roman" w:hAnsi="Times New Roman" w:cs="Times New Roman"/>
        </w:rPr>
      </w:pPr>
    </w:p>
    <w:p w14:paraId="6D5C0FAF">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七</w:t>
      </w:r>
      <w:r>
        <w:rPr>
          <w:rFonts w:hint="default" w:ascii="Times New Roman" w:hAnsi="Times New Roman" w:eastAsia="黑体" w:cs="Times New Roman"/>
          <w:b w:val="0"/>
          <w:sz w:val="32"/>
          <w:szCs w:val="32"/>
        </w:rPr>
        <w:t>、附件</w:t>
      </w:r>
    </w:p>
    <w:p w14:paraId="1C915057">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1.合理缺项</w:t>
      </w:r>
      <w:r>
        <w:rPr>
          <w:rFonts w:hint="default" w:ascii="Times New Roman" w:hAnsi="Times New Roman" w:cs="Times New Roman"/>
          <w:spacing w:val="-2"/>
          <w:sz w:val="32"/>
          <w:lang w:eastAsia="zh-CN"/>
        </w:rPr>
        <w:t>。</w:t>
      </w:r>
    </w:p>
    <w:p w14:paraId="01683168">
      <w:pPr>
        <w:pStyle w:val="16"/>
        <w:spacing w:before="234" w:after="78"/>
        <w:rPr>
          <w:rFonts w:hint="default" w:ascii="Times New Roman" w:hAnsi="Times New Roman" w:cs="Times New Roman"/>
          <w:b/>
          <w:sz w:val="28"/>
          <w:szCs w:val="28"/>
        </w:rPr>
      </w:pPr>
      <w:r>
        <w:rPr>
          <w:rFonts w:hint="default" w:ascii="Times New Roman" w:hAnsi="Times New Roman" w:cs="Times New Roman"/>
          <w:b/>
          <w:sz w:val="28"/>
          <w:szCs w:val="28"/>
        </w:rPr>
        <w:t>表3 合理缺项明识别与汇总表</w:t>
      </w:r>
    </w:p>
    <w:tbl>
      <w:tblPr>
        <w:tblStyle w:val="9"/>
        <w:tblW w:w="931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90"/>
        <w:gridCol w:w="1930"/>
        <w:gridCol w:w="1892"/>
        <w:gridCol w:w="1337"/>
        <w:gridCol w:w="3269"/>
      </w:tblGrid>
      <w:tr w14:paraId="4B1D98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890" w:type="dxa"/>
            <w:noWrap w:val="0"/>
            <w:vAlign w:val="center"/>
          </w:tcPr>
          <w:p w14:paraId="3AB4FD3B">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1930" w:type="dxa"/>
            <w:noWrap w:val="0"/>
            <w:vAlign w:val="center"/>
          </w:tcPr>
          <w:p w14:paraId="1E17037A">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二级评审项目</w:t>
            </w:r>
          </w:p>
        </w:tc>
        <w:tc>
          <w:tcPr>
            <w:tcW w:w="1892" w:type="dxa"/>
            <w:noWrap w:val="0"/>
            <w:vAlign w:val="center"/>
          </w:tcPr>
          <w:p w14:paraId="280C78A1">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三级评审项目</w:t>
            </w:r>
          </w:p>
        </w:tc>
        <w:tc>
          <w:tcPr>
            <w:tcW w:w="1337" w:type="dxa"/>
            <w:noWrap w:val="0"/>
            <w:vAlign w:val="center"/>
          </w:tcPr>
          <w:p w14:paraId="311851F9">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标准分值</w:t>
            </w:r>
          </w:p>
        </w:tc>
        <w:tc>
          <w:tcPr>
            <w:tcW w:w="3269" w:type="dxa"/>
            <w:noWrap w:val="0"/>
            <w:vAlign w:val="center"/>
          </w:tcPr>
          <w:p w14:paraId="3F413B91">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合理缺项说明（原因）</w:t>
            </w:r>
          </w:p>
        </w:tc>
      </w:tr>
      <w:tr w14:paraId="144E06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0" w:type="dxa"/>
            <w:noWrap w:val="0"/>
            <w:vAlign w:val="center"/>
          </w:tcPr>
          <w:p w14:paraId="2F4A4630">
            <w:pPr>
              <w:spacing w:line="276" w:lineRule="auto"/>
              <w:jc w:val="center"/>
              <w:rPr>
                <w:rFonts w:hint="default" w:ascii="Times New Roman" w:hAnsi="Times New Roman" w:eastAsia="仿宋" w:cs="Times New Roman"/>
                <w:sz w:val="24"/>
                <w:szCs w:val="24"/>
              </w:rPr>
            </w:pPr>
          </w:p>
        </w:tc>
        <w:tc>
          <w:tcPr>
            <w:tcW w:w="1930" w:type="dxa"/>
            <w:noWrap w:val="0"/>
            <w:vAlign w:val="center"/>
          </w:tcPr>
          <w:p w14:paraId="7CA01F90">
            <w:pPr>
              <w:spacing w:line="276" w:lineRule="auto"/>
              <w:jc w:val="center"/>
              <w:rPr>
                <w:rFonts w:hint="default" w:ascii="Times New Roman" w:hAnsi="Times New Roman" w:eastAsia="仿宋" w:cs="Times New Roman"/>
                <w:sz w:val="24"/>
                <w:szCs w:val="24"/>
              </w:rPr>
            </w:pPr>
          </w:p>
        </w:tc>
        <w:tc>
          <w:tcPr>
            <w:tcW w:w="1892" w:type="dxa"/>
            <w:noWrap w:val="0"/>
            <w:vAlign w:val="center"/>
          </w:tcPr>
          <w:p w14:paraId="5FF31CB7">
            <w:pPr>
              <w:spacing w:line="276" w:lineRule="auto"/>
              <w:jc w:val="center"/>
              <w:rPr>
                <w:rFonts w:hint="default" w:ascii="Times New Roman" w:hAnsi="Times New Roman" w:eastAsia="仿宋" w:cs="Times New Roman"/>
                <w:sz w:val="24"/>
                <w:szCs w:val="24"/>
              </w:rPr>
            </w:pPr>
          </w:p>
        </w:tc>
        <w:tc>
          <w:tcPr>
            <w:tcW w:w="1337" w:type="dxa"/>
            <w:noWrap w:val="0"/>
            <w:vAlign w:val="center"/>
          </w:tcPr>
          <w:p w14:paraId="0EA016BA">
            <w:pPr>
              <w:spacing w:line="276" w:lineRule="auto"/>
              <w:jc w:val="center"/>
              <w:rPr>
                <w:rFonts w:hint="default" w:ascii="Times New Roman" w:hAnsi="Times New Roman" w:eastAsia="仿宋" w:cs="Times New Roman"/>
                <w:sz w:val="24"/>
                <w:szCs w:val="24"/>
              </w:rPr>
            </w:pPr>
          </w:p>
        </w:tc>
        <w:tc>
          <w:tcPr>
            <w:tcW w:w="3269" w:type="dxa"/>
            <w:noWrap w:val="0"/>
            <w:vAlign w:val="center"/>
          </w:tcPr>
          <w:p w14:paraId="1F5DB8DA">
            <w:pPr>
              <w:spacing w:line="276" w:lineRule="auto"/>
              <w:ind w:firstLine="420"/>
              <w:jc w:val="center"/>
              <w:rPr>
                <w:rFonts w:hint="default" w:ascii="Times New Roman" w:hAnsi="Times New Roman" w:eastAsia="仿宋" w:cs="Times New Roman"/>
                <w:color w:val="FF0000"/>
                <w:sz w:val="24"/>
                <w:szCs w:val="24"/>
              </w:rPr>
            </w:pPr>
          </w:p>
        </w:tc>
      </w:tr>
      <w:tr w14:paraId="0334B6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2" w:hRule="atLeast"/>
          <w:jc w:val="center"/>
        </w:trPr>
        <w:tc>
          <w:tcPr>
            <w:tcW w:w="890" w:type="dxa"/>
            <w:noWrap w:val="0"/>
            <w:vAlign w:val="center"/>
          </w:tcPr>
          <w:p w14:paraId="48CDC06E">
            <w:pPr>
              <w:spacing w:line="276" w:lineRule="auto"/>
              <w:jc w:val="center"/>
              <w:rPr>
                <w:rFonts w:hint="default" w:ascii="Times New Roman" w:hAnsi="Times New Roman" w:eastAsia="仿宋" w:cs="Times New Roman"/>
                <w:sz w:val="24"/>
                <w:szCs w:val="24"/>
              </w:rPr>
            </w:pPr>
          </w:p>
        </w:tc>
        <w:tc>
          <w:tcPr>
            <w:tcW w:w="1930" w:type="dxa"/>
            <w:noWrap w:val="0"/>
            <w:vAlign w:val="center"/>
          </w:tcPr>
          <w:p w14:paraId="011AE17C">
            <w:pPr>
              <w:spacing w:line="276" w:lineRule="auto"/>
              <w:jc w:val="center"/>
              <w:rPr>
                <w:rFonts w:hint="default" w:ascii="Times New Roman" w:hAnsi="Times New Roman" w:eastAsia="仿宋" w:cs="Times New Roman"/>
                <w:sz w:val="24"/>
                <w:szCs w:val="24"/>
              </w:rPr>
            </w:pPr>
          </w:p>
        </w:tc>
        <w:tc>
          <w:tcPr>
            <w:tcW w:w="1892" w:type="dxa"/>
            <w:noWrap w:val="0"/>
            <w:vAlign w:val="center"/>
          </w:tcPr>
          <w:p w14:paraId="30CF5577">
            <w:pPr>
              <w:spacing w:line="276" w:lineRule="auto"/>
              <w:jc w:val="center"/>
              <w:rPr>
                <w:rFonts w:hint="default" w:ascii="Times New Roman" w:hAnsi="Times New Roman" w:eastAsia="仿宋" w:cs="Times New Roman"/>
                <w:sz w:val="24"/>
                <w:szCs w:val="24"/>
              </w:rPr>
            </w:pPr>
          </w:p>
        </w:tc>
        <w:tc>
          <w:tcPr>
            <w:tcW w:w="1337" w:type="dxa"/>
            <w:noWrap w:val="0"/>
            <w:vAlign w:val="center"/>
          </w:tcPr>
          <w:p w14:paraId="5DACAB04">
            <w:pPr>
              <w:spacing w:line="276" w:lineRule="auto"/>
              <w:jc w:val="center"/>
              <w:rPr>
                <w:rFonts w:hint="default" w:ascii="Times New Roman" w:hAnsi="Times New Roman" w:eastAsia="仿宋" w:cs="Times New Roman"/>
                <w:sz w:val="24"/>
                <w:szCs w:val="24"/>
              </w:rPr>
            </w:pPr>
          </w:p>
        </w:tc>
        <w:tc>
          <w:tcPr>
            <w:tcW w:w="3269" w:type="dxa"/>
            <w:noWrap w:val="0"/>
            <w:vAlign w:val="center"/>
          </w:tcPr>
          <w:p w14:paraId="4F46682A">
            <w:pPr>
              <w:spacing w:line="276" w:lineRule="auto"/>
              <w:ind w:firstLine="420"/>
              <w:jc w:val="center"/>
              <w:rPr>
                <w:rFonts w:hint="default" w:ascii="Times New Roman" w:hAnsi="Times New Roman" w:eastAsia="仿宋" w:cs="Times New Roman"/>
                <w:color w:val="FF0000"/>
                <w:sz w:val="24"/>
                <w:szCs w:val="24"/>
              </w:rPr>
            </w:pPr>
          </w:p>
        </w:tc>
      </w:tr>
    </w:tbl>
    <w:p w14:paraId="16AF0ACE">
      <w:pPr>
        <w:pStyle w:val="19"/>
        <w:keepNext w:val="0"/>
        <w:keepLines w:val="0"/>
        <w:pageBreakBefore w:val="0"/>
        <w:widowControl w:val="0"/>
        <w:kinsoku/>
        <w:wordWrap/>
        <w:overflowPunct/>
        <w:topLinePunct w:val="0"/>
        <w:autoSpaceDE/>
        <w:autoSpaceDN/>
        <w:bidi w:val="0"/>
        <w:adjustRightInd w:val="0"/>
        <w:snapToGrid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2.自主评审工作照片、现场检查照片（不得少于10张，每张照片备注简要说明）</w:t>
      </w:r>
      <w:r>
        <w:rPr>
          <w:rFonts w:hint="default" w:ascii="Times New Roman" w:hAnsi="Times New Roman" w:cs="Times New Roman"/>
          <w:spacing w:val="-2"/>
          <w:sz w:val="32"/>
          <w:lang w:eastAsia="zh-CN"/>
        </w:rPr>
        <w:t>。</w:t>
      </w:r>
    </w:p>
    <w:p w14:paraId="5FDD146A">
      <w:pPr>
        <w:pStyle w:val="19"/>
        <w:keepNext w:val="0"/>
        <w:keepLines w:val="0"/>
        <w:pageBreakBefore w:val="0"/>
        <w:widowControl w:val="0"/>
        <w:kinsoku/>
        <w:wordWrap/>
        <w:overflowPunct/>
        <w:topLinePunct w:val="0"/>
        <w:autoSpaceDE/>
        <w:autoSpaceDN/>
        <w:bidi w:val="0"/>
        <w:adjustRightInd w:val="0"/>
        <w:snapToGrid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3.其他资料</w:t>
      </w:r>
      <w:r>
        <w:rPr>
          <w:rFonts w:hint="default" w:ascii="Times New Roman" w:hAnsi="Times New Roman" w:cs="Times New Roman"/>
          <w:spacing w:val="-2"/>
          <w:sz w:val="32"/>
          <w:lang w:eastAsia="zh-CN"/>
        </w:rPr>
        <w:t>。</w:t>
      </w:r>
    </w:p>
    <w:p w14:paraId="572A7222">
      <w:pPr>
        <w:kinsoku w:val="0"/>
        <w:overflowPunct w:val="0"/>
        <w:spacing w:line="560" w:lineRule="exact"/>
        <w:textAlignment w:val="baseline"/>
        <w:rPr>
          <w:rFonts w:hint="default" w:ascii="Times New Roman" w:hAnsi="Times New Roman" w:eastAsia="黑体" w:cs="Times New Roman"/>
          <w:sz w:val="43"/>
          <w:szCs w:val="43"/>
          <w:lang w:val="zh-Hans" w:eastAsia="zh-CN"/>
        </w:rPr>
      </w:pPr>
      <w:r>
        <w:rPr>
          <w:rFonts w:hint="default" w:ascii="Times New Roman" w:hAnsi="Times New Roman" w:eastAsia="仿宋_GB2312" w:cs="Times New Roman"/>
          <w:spacing w:val="-2"/>
          <w:sz w:val="32"/>
        </w:rPr>
        <w:br w:type="page"/>
      </w:r>
      <w:bookmarkStart w:id="18" w:name="_Hlk99018504"/>
      <w:r>
        <w:rPr>
          <w:rFonts w:hint="default" w:ascii="Times New Roman" w:hAnsi="Times New Roman" w:eastAsia="黑体" w:cs="Times New Roman"/>
          <w:sz w:val="32"/>
          <w:szCs w:val="32"/>
          <w:lang w:val="en-US" w:eastAsia="zh-CN"/>
        </w:rPr>
        <w:t>附录G</w:t>
      </w:r>
    </w:p>
    <w:p w14:paraId="02536C45">
      <w:pPr>
        <w:kinsoku w:val="0"/>
        <w:overflowPunct w:val="0"/>
        <w:spacing w:line="560" w:lineRule="exact"/>
        <w:textAlignment w:val="baseline"/>
        <w:rPr>
          <w:rFonts w:hint="default" w:ascii="Times New Roman" w:hAnsi="Times New Roman" w:eastAsia="方正小标宋简体" w:cs="Times New Roman"/>
          <w:spacing w:val="-4"/>
          <w:sz w:val="43"/>
          <w:szCs w:val="43"/>
          <w:lang w:val="zh-Hans"/>
        </w:rPr>
      </w:pPr>
    </w:p>
    <w:p w14:paraId="487F23D3">
      <w:pPr>
        <w:kinsoku w:val="0"/>
        <w:overflowPunct w:val="0"/>
        <w:spacing w:line="560" w:lineRule="exact"/>
        <w:jc w:val="center"/>
        <w:textAlignment w:val="baseline"/>
        <w:rPr>
          <w:rFonts w:hint="eastAsia" w:ascii="方正小标宋_GBK" w:hAnsi="方正小标宋_GBK" w:eastAsia="方正小标宋_GBK" w:cs="方正小标宋_GBK"/>
          <w:spacing w:val="-4"/>
          <w:sz w:val="44"/>
          <w:szCs w:val="44"/>
          <w:lang w:val="zh-Hans"/>
        </w:rPr>
      </w:pPr>
      <w:r>
        <w:rPr>
          <w:rFonts w:hint="eastAsia" w:ascii="方正小标宋_GBK" w:hAnsi="方正小标宋_GBK" w:eastAsia="方正小标宋_GBK" w:cs="方正小标宋_GBK"/>
          <w:kern w:val="0"/>
          <w:sz w:val="44"/>
          <w:szCs w:val="44"/>
        </w:rPr>
        <w:t>承  诺  书</w:t>
      </w:r>
    </w:p>
    <w:p w14:paraId="5F5D920C">
      <w:pPr>
        <w:kinsoku w:val="0"/>
        <w:overflowPunct w:val="0"/>
        <w:spacing w:line="560" w:lineRule="exact"/>
        <w:jc w:val="center"/>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期满延续格式</w:t>
      </w:r>
      <w:r>
        <w:rPr>
          <w:rFonts w:hint="eastAsia" w:ascii="仿宋_GB2312" w:hAnsi="仿宋_GB2312" w:eastAsia="仿宋_GB2312" w:cs="仿宋_GB2312"/>
          <w:b w:val="0"/>
          <w:bCs w:val="0"/>
          <w:sz w:val="32"/>
          <w:szCs w:val="32"/>
          <w:lang w:eastAsia="zh-CN"/>
        </w:rPr>
        <w:t>）</w:t>
      </w:r>
    </w:p>
    <w:bookmarkEnd w:id="18"/>
    <w:p w14:paraId="33AA620C">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zh-Hans" w:eastAsia="zh-Hans"/>
        </w:rPr>
        <w:t>我单位就小水电站安全生产标准化</w:t>
      </w:r>
      <w:r>
        <w:rPr>
          <w:rFonts w:hint="eastAsia" w:ascii="仿宋_GB2312" w:hAnsi="仿宋_GB2312" w:eastAsia="仿宋_GB2312" w:cs="仿宋_GB2312"/>
          <w:sz w:val="32"/>
          <w:lang w:val="en-US" w:eastAsia="zh-CN"/>
        </w:rPr>
        <w:t>期满延续</w:t>
      </w:r>
      <w:r>
        <w:rPr>
          <w:rFonts w:hint="eastAsia" w:ascii="仿宋_GB2312" w:hAnsi="仿宋_GB2312" w:eastAsia="仿宋_GB2312" w:cs="仿宋_GB2312"/>
          <w:sz w:val="32"/>
          <w:lang w:val="zh-Hans" w:eastAsia="zh-Hans"/>
        </w:rPr>
        <w:t>事项，作出以下承诺：</w:t>
      </w:r>
    </w:p>
    <w:p w14:paraId="79119BF0">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6"/>
          <w:szCs w:val="36"/>
          <w:lang w:val="zh-Hans" w:eastAsia="zh-Hans"/>
        </w:rPr>
      </w:pPr>
      <w:r>
        <w:rPr>
          <w:rFonts w:hint="eastAsia" w:ascii="仿宋_GB2312" w:hAnsi="仿宋_GB2312" w:eastAsia="仿宋_GB2312" w:cs="仿宋_GB2312"/>
          <w:sz w:val="32"/>
          <w:lang w:val="en-US" w:eastAsia="zh-CN"/>
        </w:rPr>
        <w:t>一、</w:t>
      </w:r>
      <w:r>
        <w:rPr>
          <w:rFonts w:hint="eastAsia" w:ascii="仿宋_GB2312" w:hAnsi="仿宋_GB2312" w:eastAsia="仿宋_GB2312" w:cs="仿宋_GB2312"/>
          <w:sz w:val="32"/>
        </w:rPr>
        <w:t>我单位符合</w:t>
      </w:r>
      <w:r>
        <w:rPr>
          <w:rFonts w:hint="eastAsia" w:ascii="仿宋_GB2312" w:hAnsi="仿宋_GB2312" w:eastAsia="仿宋_GB2312" w:cs="仿宋_GB2312"/>
          <w:kern w:val="0"/>
          <w:sz w:val="32"/>
        </w:rPr>
        <w:t>《小型水电站安全生产标准化评审细则》</w:t>
      </w:r>
      <w:r>
        <w:rPr>
          <w:rFonts w:hint="eastAsia" w:ascii="仿宋_GB2312" w:hAnsi="仿宋_GB2312" w:eastAsia="仿宋_GB2312" w:cs="仿宋_GB2312"/>
          <w:kern w:val="0"/>
          <w:sz w:val="32"/>
          <w:lang w:val="en-US" w:eastAsia="zh-CN"/>
        </w:rPr>
        <w:t>第二条</w:t>
      </w:r>
      <w:r>
        <w:rPr>
          <w:rFonts w:hint="eastAsia" w:ascii="仿宋_GB2312" w:hAnsi="仿宋_GB2312" w:eastAsia="仿宋_GB2312" w:cs="仿宋_GB2312"/>
          <w:sz w:val="32"/>
        </w:rPr>
        <w:t>所规定的基本条件。</w:t>
      </w:r>
    </w:p>
    <w:p w14:paraId="43A9258C">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二、</w:t>
      </w:r>
      <w:r>
        <w:rPr>
          <w:rFonts w:hint="eastAsia" w:ascii="仿宋_GB2312" w:hAnsi="仿宋_GB2312" w:eastAsia="仿宋_GB2312" w:cs="仿宋_GB2312"/>
          <w:sz w:val="32"/>
          <w:lang w:val="zh-Hans" w:eastAsia="zh-Hans"/>
        </w:rPr>
        <w:t>我单位提交的续期申请材料均真实、合法、有效。</w:t>
      </w:r>
    </w:p>
    <w:p w14:paraId="0B424BB0">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三、</w:t>
      </w:r>
      <w:r>
        <w:rPr>
          <w:rFonts w:hint="eastAsia" w:ascii="仿宋_GB2312" w:hAnsi="仿宋_GB2312" w:eastAsia="仿宋_GB2312" w:cs="仿宋_GB2312"/>
          <w:sz w:val="32"/>
          <w:lang w:val="zh-Hans" w:eastAsia="zh-Hans"/>
        </w:rPr>
        <w:t>愿意随时接受相关的现场核查，对存在的问题按照要求及时整改。</w:t>
      </w:r>
    </w:p>
    <w:p w14:paraId="433A8D5E">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三、</w:t>
      </w:r>
      <w:r>
        <w:rPr>
          <w:rFonts w:hint="eastAsia" w:ascii="仿宋_GB2312" w:hAnsi="仿宋_GB2312" w:eastAsia="仿宋_GB2312" w:cs="仿宋_GB2312"/>
          <w:sz w:val="32"/>
          <w:lang w:val="zh-Hans" w:eastAsia="zh-Hans"/>
        </w:rPr>
        <w:t>愿意自行承担违反承诺的法律责任，并接受相关的处理。</w:t>
      </w:r>
    </w:p>
    <w:p w14:paraId="27D2AE45">
      <w:pPr>
        <w:kinsoku w:val="0"/>
        <w:overflowPunct w:val="0"/>
        <w:spacing w:line="560" w:lineRule="exact"/>
        <w:jc w:val="left"/>
        <w:textAlignment w:val="baseline"/>
        <w:rPr>
          <w:rFonts w:hint="eastAsia" w:ascii="仿宋_GB2312" w:hAnsi="仿宋_GB2312" w:eastAsia="仿宋_GB2312" w:cs="仿宋_GB2312"/>
          <w:sz w:val="36"/>
          <w:szCs w:val="36"/>
          <w:lang w:val="zh-Hans"/>
        </w:rPr>
      </w:pPr>
    </w:p>
    <w:p w14:paraId="1E977DA1">
      <w:pPr>
        <w:kinsoku w:val="0"/>
        <w:overflowPunct w:val="0"/>
        <w:spacing w:line="560" w:lineRule="exact"/>
        <w:jc w:val="left"/>
        <w:textAlignment w:val="baseline"/>
        <w:rPr>
          <w:rFonts w:hint="eastAsia" w:ascii="仿宋_GB2312" w:hAnsi="仿宋_GB2312" w:eastAsia="仿宋_GB2312" w:cs="仿宋_GB2312"/>
          <w:sz w:val="36"/>
          <w:szCs w:val="36"/>
          <w:lang w:val="zh-Hans" w:eastAsia="zh-Hans"/>
        </w:rPr>
      </w:pPr>
    </w:p>
    <w:p w14:paraId="4C172484">
      <w:pPr>
        <w:pStyle w:val="19"/>
        <w:ind w:firstLine="4800" w:firstLineChars="1500"/>
        <w:rPr>
          <w:rFonts w:hint="eastAsia" w:ascii="仿宋_GB2312" w:hAnsi="仿宋_GB2312" w:eastAsia="仿宋_GB2312" w:cs="仿宋_GB2312"/>
          <w:sz w:val="32"/>
        </w:rPr>
      </w:pPr>
      <w:r>
        <w:rPr>
          <w:rFonts w:hint="eastAsia" w:ascii="仿宋_GB2312" w:hAnsi="仿宋_GB2312" w:eastAsia="仿宋_GB2312" w:cs="仿宋_GB2312"/>
          <w:sz w:val="32"/>
        </w:rPr>
        <w:t>单位名称（盖章）：</w:t>
      </w:r>
    </w:p>
    <w:p w14:paraId="0EBC6237">
      <w:pPr>
        <w:pStyle w:val="19"/>
        <w:ind w:firstLine="4800" w:firstLineChars="1500"/>
        <w:rPr>
          <w:rFonts w:hint="eastAsia" w:ascii="仿宋_GB2312" w:hAnsi="仿宋_GB2312" w:eastAsia="仿宋_GB2312" w:cs="仿宋_GB2312"/>
          <w:sz w:val="32"/>
        </w:rPr>
      </w:pPr>
      <w:r>
        <w:rPr>
          <w:rFonts w:hint="eastAsia" w:ascii="仿宋_GB2312" w:hAnsi="仿宋_GB2312" w:eastAsia="仿宋_GB2312" w:cs="仿宋_GB2312"/>
          <w:sz w:val="32"/>
        </w:rPr>
        <w:t>法定代表人签名：</w:t>
      </w:r>
    </w:p>
    <w:p w14:paraId="74F43DD8">
      <w:pPr>
        <w:kinsoku w:val="0"/>
        <w:overflowPunct w:val="0"/>
        <w:spacing w:line="560" w:lineRule="exact"/>
        <w:ind w:firstLine="4160" w:firstLineChars="1300"/>
        <w:textAlignment w:val="baseline"/>
        <w:rPr>
          <w:rFonts w:hint="eastAsia" w:ascii="仿宋_GB2312" w:hAnsi="仿宋_GB2312" w:eastAsia="仿宋_GB2312" w:cs="仿宋_GB2312"/>
          <w:sz w:val="36"/>
          <w:szCs w:val="36"/>
          <w:lang w:val="zh-Hans" w:eastAsia="zh-Hans"/>
        </w:rPr>
      </w:pP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 年    月    日</w:t>
      </w:r>
    </w:p>
    <w:p w14:paraId="196D5A2A">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328AE7A6">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261A6659">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572269D3">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2C8EB017">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0E857A9D">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sectPr>
          <w:pgSz w:w="11906" w:h="16838"/>
          <w:pgMar w:top="1701" w:right="1588" w:bottom="1588" w:left="1588" w:header="851" w:footer="1134" w:gutter="0"/>
          <w:pgNumType w:fmt="decimal"/>
          <w:cols w:space="720" w:num="1"/>
          <w:docGrid w:linePitch="312" w:charSpace="0"/>
        </w:sectPr>
      </w:pPr>
    </w:p>
    <w:p w14:paraId="2B6AC5FC">
      <w:pPr>
        <w:kinsoku w:val="0"/>
        <w:overflowPunct w:val="0"/>
        <w:spacing w:line="560" w:lineRule="exact"/>
        <w:ind w:firstLine="4524" w:firstLineChars="1300"/>
        <w:textAlignment w:val="baseline"/>
        <w:rPr>
          <w:rFonts w:hint="default" w:ascii="Times New Roman" w:hAnsi="Times New Roman" w:eastAsia="仿宋_GB2312" w:cs="Times New Roman"/>
          <w:sz w:val="36"/>
          <w:szCs w:val="36"/>
          <w:lang w:val="zh-Hans" w:eastAsia="zh-Hans"/>
        </w:rPr>
      </w:pPr>
    </w:p>
    <w:p w14:paraId="3E93536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60A716D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7C921F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D85D4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1FC1EE3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216FC1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7CBF8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8D8C31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DEF964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3A0139D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19A5CA4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7B25A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15B62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530D265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755D56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67C1A56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DBEE47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A1C2F5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22ECE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3A2E9C8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86B9DB3">
      <w:pPr>
        <w:adjustRightInd w:val="0"/>
        <w:snapToGrid w:val="0"/>
        <w:spacing w:line="560" w:lineRule="exact"/>
        <w:ind w:left="842" w:leftChars="155" w:hanging="536" w:hanging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28"/>
        </w:rPr>
        <mc:AlternateContent>
          <mc:Choice Requires="wps">
            <w:drawing>
              <wp:anchor distT="0" distB="0" distL="114300" distR="114300" simplePos="0" relativeHeight="251662336" behindDoc="0" locked="0" layoutInCell="0" allowOverlap="1">
                <wp:simplePos x="0" y="0"/>
                <wp:positionH relativeFrom="column">
                  <wp:posOffset>7620</wp:posOffset>
                </wp:positionH>
                <wp:positionV relativeFrom="paragraph">
                  <wp:posOffset>31750</wp:posOffset>
                </wp:positionV>
                <wp:extent cx="549402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494020" cy="0"/>
                        </a:xfrm>
                        <a:prstGeom prst="line">
                          <a:avLst/>
                        </a:prstGeom>
                        <a:ln w="6350" cap="flat" cmpd="sng">
                          <a:solidFill>
                            <a:srgbClr val="000001"/>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0.6pt;margin-top:2.5pt;height:0pt;width:432.6pt;z-index:251662336;mso-width-relative:page;mso-height-relative:page;" filled="f" stroked="t" coordsize="21600,21600" o:allowincell="f" o:gfxdata="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gEkQPRAAAABQEAAA8AAAAAAAAAAQAgAAAAIgAAAGRycy9kb3ducmV2LnhtbFBL&#10;AQIUABQAAAAIAIdO4kCU7uVZ/QEAAPwDAAAOAAAAAAAAAAEAIAAAACABAABkcnMvZTJvRG9jLnht&#10;bFBLBQYAAAAABgAGAFkBAACPBQAAAAA=&#10;">
                <v:fill on="f" focussize="0,0"/>
                <v:stroke weight="0.5pt" color="#000001" joinstyle="miter"/>
                <v:imagedata o:title=""/>
                <o:lock v:ext="edit" aspectratio="f"/>
              </v:line>
            </w:pict>
          </mc:Fallback>
        </mc:AlternateContent>
      </w:r>
      <w:r>
        <w:rPr>
          <w:rFonts w:ascii="Times New Roman" w:hAnsi="Times New Roman" w:eastAsia="仿宋_GB2312" w:cs="Times New Roman"/>
          <w:sz w:val="28"/>
        </w:rP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368935</wp:posOffset>
                </wp:positionV>
                <wp:extent cx="549402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494020" cy="0"/>
                        </a:xfrm>
                        <a:prstGeom prst="line">
                          <a:avLst/>
                        </a:prstGeom>
                        <a:ln w="6350" cap="flat" cmpd="sng">
                          <a:solidFill>
                            <a:srgbClr val="000001"/>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0pt;margin-top:29.05pt;height:0pt;width:432.6pt;z-index:251663360;mso-width-relative:page;mso-height-relative:page;" filled="f" stroked="t" coordsize="21600,21600" o:allowincell="f" o:gfxdata="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D0Ier1AAAAAYBAAAPAAAAAAAAAAEAIAAAACIAAABkcnMvZG93bnJldi54&#10;bWxQSwECFAAUAAAACACHTuJAXp73sv4BAAD8AwAADgAAAAAAAAABACAAAAAjAQAAZHJzL2Uyb0Rv&#10;Yy54bWxQSwUGAAAAAAYABgBZAQAAkwUAAAAA&#10;">
                <v:fill on="f" focussize="0,0"/>
                <v:stroke weight="0.5pt" color="#000001" joinstyle="miter"/>
                <v:imagedata o:title=""/>
                <o:lock v:ext="edit" aspectratio="f"/>
              </v:line>
            </w:pict>
          </mc:Fallback>
        </mc:AlternateContent>
      </w:r>
      <w:r>
        <w:rPr>
          <w:rFonts w:hint="default" w:ascii="Times New Roman" w:hAnsi="Times New Roman" w:eastAsia="仿宋_GB2312" w:cs="Times New Roman"/>
          <w:sz w:val="28"/>
        </w:rPr>
        <w:t>新疆维吾尔自治区水利厅办公室</w:t>
      </w:r>
      <w:r>
        <w:rPr>
          <w:rFonts w:ascii="Times New Roman" w:hAnsi="Times New Roman" w:eastAsia="仿宋_GB2312" w:cs="Times New Roman"/>
          <w:sz w:val="28"/>
        </w:rPr>
        <w:t xml:space="preserve">         202</w:t>
      </w:r>
      <w:r>
        <w:rPr>
          <w:rFonts w:hint="default" w:ascii="Times New Roman" w:hAnsi="Times New Roman" w:eastAsia="仿宋_GB2312" w:cs="Times New Roman"/>
          <w:sz w:val="28"/>
          <w:lang w:val="en-US" w:eastAsia="zh-CN"/>
        </w:rPr>
        <w:t>4</w:t>
      </w:r>
      <w:r>
        <w:rPr>
          <w:rFonts w:hint="default" w:ascii="Times New Roman" w:hAnsi="Times New Roman" w:eastAsia="仿宋_GB2312" w:cs="Times New Roman"/>
          <w:sz w:val="28"/>
        </w:rPr>
        <w:t>年</w:t>
      </w:r>
      <w:r>
        <w:rPr>
          <w:rFonts w:hint="default" w:ascii="Times New Roman" w:hAnsi="Times New Roman" w:eastAsia="仿宋_GB2312" w:cs="Times New Roman"/>
          <w:sz w:val="28"/>
          <w:lang w:val="en-US" w:eastAsia="zh-CN"/>
        </w:rPr>
        <w:t>5</w:t>
      </w:r>
      <w:r>
        <w:rPr>
          <w:rFonts w:hint="default" w:ascii="Times New Roman" w:hAnsi="Times New Roman" w:eastAsia="仿宋_GB2312" w:cs="Times New Roman"/>
          <w:sz w:val="28"/>
        </w:rPr>
        <w:t>月</w:t>
      </w:r>
      <w:r>
        <w:rPr>
          <w:rFonts w:hint="eastAsia" w:ascii="Times New Roman" w:hAnsi="Times New Roman" w:eastAsia="仿宋_GB2312" w:cs="Times New Roman"/>
          <w:sz w:val="28"/>
          <w:lang w:val="en-US" w:eastAsia="zh-CN"/>
        </w:rPr>
        <w:t>17</w:t>
      </w:r>
      <w:r>
        <w:rPr>
          <w:rFonts w:hint="default" w:ascii="Times New Roman" w:hAnsi="Times New Roman" w:eastAsia="仿宋_GB2312" w:cs="Times New Roman"/>
          <w:sz w:val="28"/>
        </w:rPr>
        <w:t>日印发</w:t>
      </w:r>
    </w:p>
    <w:p w14:paraId="2B334AA0">
      <w:pPr>
        <w:widowControl/>
        <w:adjustRightInd w:val="0"/>
        <w:snapToGrid w:val="0"/>
        <w:spacing w:line="20" w:lineRule="exact"/>
        <w:jc w:val="left"/>
        <w:rPr>
          <w:rFonts w:hint="default" w:ascii="Times New Roman" w:hAnsi="Times New Roman" w:cs="Times New Roman"/>
          <w:kern w:val="0"/>
        </w:rPr>
      </w:pPr>
    </w:p>
    <w:p w14:paraId="0D420438">
      <w:pPr>
        <w:keepNext w:val="0"/>
        <w:keepLines w:val="0"/>
        <w:pageBreakBefore w:val="0"/>
        <w:kinsoku/>
        <w:wordWrap/>
        <w:overflowPunct/>
        <w:topLinePunct w:val="0"/>
        <w:autoSpaceDE/>
        <w:autoSpaceDN/>
        <w:bidi w:val="0"/>
        <w:adjustRightInd w:val="0"/>
        <w:snapToGrid w:val="0"/>
        <w:spacing w:line="600" w:lineRule="exact"/>
        <w:ind w:firstLine="798" w:firstLineChars="350"/>
        <w:textAlignment w:val="auto"/>
        <w:rPr>
          <w:rFonts w:hint="eastAsia" w:ascii="楷体" w:hAnsi="楷体" w:eastAsia="楷体" w:cs="楷体"/>
          <w:sz w:val="24"/>
          <w:szCs w:val="24"/>
          <w:lang w:val="en-US" w:eastAsia="zh-CN"/>
        </w:rPr>
      </w:pPr>
    </w:p>
    <w:sectPr>
      <w:footerReference r:id="rId10" w:type="default"/>
      <w:pgSz w:w="11907" w:h="16840"/>
      <w:pgMar w:top="1440" w:right="1080" w:bottom="1440" w:left="1080" w:header="0" w:footer="0" w:gutter="0"/>
      <w:pgNumType w:fmt="decimal" w:start="1"/>
      <w:cols w:space="720" w:num="1"/>
      <w:docGrid w:type="linesAndChars" w:linePitch="312" w:charSpace="-24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1" w:fontKey="{D6F4CFF9-E286-4645-A59B-6A90D4815712}"/>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6F147969-8688-4925-9127-AE7A66F2FC6F}"/>
  </w:font>
  <w:font w:name="方正小标宋简体">
    <w:panose1 w:val="02000000000000000000"/>
    <w:charset w:val="86"/>
    <w:family w:val="auto"/>
    <w:pitch w:val="default"/>
    <w:sig w:usb0="00000001" w:usb1="08000000" w:usb2="00000000" w:usb3="00000000" w:csb0="00040000" w:csb1="00000000"/>
    <w:embedRegular r:id="rId3" w:fontKey="{739D2CC3-144E-490B-A13B-AC8430ECC399}"/>
  </w:font>
  <w:font w:name="方正小标宋_GBK">
    <w:altName w:val="微软雅黑"/>
    <w:panose1 w:val="03000509000000000000"/>
    <w:charset w:val="86"/>
    <w:family w:val="script"/>
    <w:pitch w:val="default"/>
    <w:sig w:usb0="00000000" w:usb1="00000000" w:usb2="00000000" w:usb3="00000000" w:csb0="00040000" w:csb1="00000000"/>
    <w:embedRegular r:id="rId4" w:fontKey="{F9E75271-61EB-4554-8295-DB28C1BBFAE9}"/>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FCB0">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277F2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3F277F2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D43BC">
    <w:pPr>
      <w:pStyle w:val="6"/>
      <w:jc w:val="right"/>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4C501C">
                          <w:pPr>
                            <w:pStyle w:val="6"/>
                            <w:jc w:val="righ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4C4C501C">
                    <w:pPr>
                      <w:pStyle w:val="6"/>
                      <w:jc w:val="righ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560C">
    <w:pPr>
      <w:pStyle w:val="6"/>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2</w:t>
    </w:r>
    <w:r>
      <w:rPr>
        <w:rFonts w:ascii="宋体" w:hAnsi="宋体"/>
        <w:sz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BB2F9">
    <w:pPr>
      <w:ind w:firstLine="6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A354">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9D037D">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579D037D">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5A6A">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04B5F">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404A8">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FE07AC"/>
    <w:multiLevelType w:val="multilevel"/>
    <w:tmpl w:val="39FE07AC"/>
    <w:lvl w:ilvl="0" w:tentative="0">
      <w:start w:val="1"/>
      <w:numFmt w:val="decimal"/>
      <w:suff w:val="nothing"/>
      <w:lvlText w:val="附件%1"/>
      <w:lvlJc w:val="right"/>
      <w:pPr>
        <w:ind w:left="1413" w:hanging="420"/>
      </w:pPr>
      <w:rPr>
        <w:rFonts w:hint="eastAsia"/>
        <w:b/>
        <w:i w:val="0"/>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B12BB1"/>
    <w:multiLevelType w:val="singleLevel"/>
    <w:tmpl w:val="3BB12BB1"/>
    <w:lvl w:ilvl="0" w:tentative="0">
      <w:start w:val="7"/>
      <w:numFmt w:val="chineseCounting"/>
      <w:suff w:val="space"/>
      <w:lvlText w:val="第%1条"/>
      <w:lvlJc w:val="left"/>
      <w:rPr>
        <w:rFonts w:hint="eastAsia"/>
      </w:rPr>
    </w:lvl>
  </w:abstractNum>
  <w:abstractNum w:abstractNumId="2">
    <w:nsid w:val="4760BCBB"/>
    <w:multiLevelType w:val="singleLevel"/>
    <w:tmpl w:val="4760BCBB"/>
    <w:lvl w:ilvl="0" w:tentative="0">
      <w:start w:val="1"/>
      <w:numFmt w:val="chineseCounting"/>
      <w:suff w:val="space"/>
      <w:lvlText w:val="第%1条"/>
      <w:lvlJc w:val="left"/>
      <w:rPr>
        <w:rFonts w:hint="eastAsia"/>
      </w:rPr>
    </w:lvl>
  </w:abstractNum>
  <w:abstractNum w:abstractNumId="3">
    <w:nsid w:val="7E0F554A"/>
    <w:multiLevelType w:val="multilevel"/>
    <w:tmpl w:val="7E0F554A"/>
    <w:lvl w:ilvl="0" w:tentative="0">
      <w:start w:val="1"/>
      <w:numFmt w:val="decimal"/>
      <w:suff w:val="nothing"/>
      <w:lvlText w:val="（%1）"/>
      <w:lvlJc w:val="left"/>
      <w:pPr>
        <w:ind w:left="1997" w:hanging="720"/>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9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zMWFkMmQ1YjI3YTY2MGI0MjJiN2Y4ZTk5Zjg1MGMifQ=="/>
  </w:docVars>
  <w:rsids>
    <w:rsidRoot w:val="00172A27"/>
    <w:rsid w:val="00026667"/>
    <w:rsid w:val="00034735"/>
    <w:rsid w:val="0007256B"/>
    <w:rsid w:val="000756F8"/>
    <w:rsid w:val="000A721F"/>
    <w:rsid w:val="000C714B"/>
    <w:rsid w:val="000D7718"/>
    <w:rsid w:val="000E33E8"/>
    <w:rsid w:val="000E3ADE"/>
    <w:rsid w:val="000F7D12"/>
    <w:rsid w:val="001033E5"/>
    <w:rsid w:val="00112142"/>
    <w:rsid w:val="001139D2"/>
    <w:rsid w:val="0011726C"/>
    <w:rsid w:val="00120D7D"/>
    <w:rsid w:val="00150602"/>
    <w:rsid w:val="00154523"/>
    <w:rsid w:val="00172A27"/>
    <w:rsid w:val="00180EDC"/>
    <w:rsid w:val="00184D5D"/>
    <w:rsid w:val="001964F6"/>
    <w:rsid w:val="001A23E2"/>
    <w:rsid w:val="001A2644"/>
    <w:rsid w:val="001B30E8"/>
    <w:rsid w:val="001D1DC0"/>
    <w:rsid w:val="001D1E37"/>
    <w:rsid w:val="001F5070"/>
    <w:rsid w:val="00206061"/>
    <w:rsid w:val="00206F13"/>
    <w:rsid w:val="002132E9"/>
    <w:rsid w:val="00214CD5"/>
    <w:rsid w:val="00270601"/>
    <w:rsid w:val="00281E1C"/>
    <w:rsid w:val="00291A76"/>
    <w:rsid w:val="00297707"/>
    <w:rsid w:val="002F0146"/>
    <w:rsid w:val="00302F0C"/>
    <w:rsid w:val="00303940"/>
    <w:rsid w:val="00342F8A"/>
    <w:rsid w:val="00343E66"/>
    <w:rsid w:val="003466A1"/>
    <w:rsid w:val="003636ED"/>
    <w:rsid w:val="0038763D"/>
    <w:rsid w:val="003B2885"/>
    <w:rsid w:val="003C1FB0"/>
    <w:rsid w:val="003D3AFE"/>
    <w:rsid w:val="003F25B8"/>
    <w:rsid w:val="003F7BA8"/>
    <w:rsid w:val="00426988"/>
    <w:rsid w:val="00432DC9"/>
    <w:rsid w:val="004408E9"/>
    <w:rsid w:val="00443A05"/>
    <w:rsid w:val="00477D04"/>
    <w:rsid w:val="0049264E"/>
    <w:rsid w:val="004B1B97"/>
    <w:rsid w:val="004C381C"/>
    <w:rsid w:val="004D04A8"/>
    <w:rsid w:val="004E0845"/>
    <w:rsid w:val="004E114E"/>
    <w:rsid w:val="004F2736"/>
    <w:rsid w:val="004F5BD6"/>
    <w:rsid w:val="00505D75"/>
    <w:rsid w:val="005131E7"/>
    <w:rsid w:val="00515F1F"/>
    <w:rsid w:val="00522FFB"/>
    <w:rsid w:val="00525EC5"/>
    <w:rsid w:val="00534918"/>
    <w:rsid w:val="00561D81"/>
    <w:rsid w:val="00567CE6"/>
    <w:rsid w:val="00583833"/>
    <w:rsid w:val="0058750F"/>
    <w:rsid w:val="00592DE5"/>
    <w:rsid w:val="005A1A19"/>
    <w:rsid w:val="005A47D4"/>
    <w:rsid w:val="005B5CA4"/>
    <w:rsid w:val="005C49A3"/>
    <w:rsid w:val="005E2D0B"/>
    <w:rsid w:val="00615D53"/>
    <w:rsid w:val="00621471"/>
    <w:rsid w:val="006372ED"/>
    <w:rsid w:val="00637819"/>
    <w:rsid w:val="00657EFE"/>
    <w:rsid w:val="00665136"/>
    <w:rsid w:val="00677201"/>
    <w:rsid w:val="0069503D"/>
    <w:rsid w:val="006E1E4F"/>
    <w:rsid w:val="006F0C7F"/>
    <w:rsid w:val="00701391"/>
    <w:rsid w:val="00706711"/>
    <w:rsid w:val="0071070C"/>
    <w:rsid w:val="00711E37"/>
    <w:rsid w:val="00714C5F"/>
    <w:rsid w:val="00727A6C"/>
    <w:rsid w:val="0073521B"/>
    <w:rsid w:val="007507EB"/>
    <w:rsid w:val="00754021"/>
    <w:rsid w:val="00763502"/>
    <w:rsid w:val="008510CE"/>
    <w:rsid w:val="008576F4"/>
    <w:rsid w:val="00860C96"/>
    <w:rsid w:val="008669D5"/>
    <w:rsid w:val="008B5B30"/>
    <w:rsid w:val="008C031C"/>
    <w:rsid w:val="008E5E53"/>
    <w:rsid w:val="009110BC"/>
    <w:rsid w:val="009209F7"/>
    <w:rsid w:val="00970E92"/>
    <w:rsid w:val="00973509"/>
    <w:rsid w:val="00987B26"/>
    <w:rsid w:val="009A0FE2"/>
    <w:rsid w:val="009B52D4"/>
    <w:rsid w:val="009D6944"/>
    <w:rsid w:val="009E4EDE"/>
    <w:rsid w:val="00A14BD3"/>
    <w:rsid w:val="00A23D4E"/>
    <w:rsid w:val="00A36FD8"/>
    <w:rsid w:val="00A54F6E"/>
    <w:rsid w:val="00A64B49"/>
    <w:rsid w:val="00A72A3D"/>
    <w:rsid w:val="00A762E4"/>
    <w:rsid w:val="00A9373D"/>
    <w:rsid w:val="00A95B3D"/>
    <w:rsid w:val="00A96594"/>
    <w:rsid w:val="00AB4094"/>
    <w:rsid w:val="00AC0E59"/>
    <w:rsid w:val="00AD1DBA"/>
    <w:rsid w:val="00AF1CA2"/>
    <w:rsid w:val="00AF5424"/>
    <w:rsid w:val="00B14A7E"/>
    <w:rsid w:val="00B311D4"/>
    <w:rsid w:val="00B33C0E"/>
    <w:rsid w:val="00B348B7"/>
    <w:rsid w:val="00B423E3"/>
    <w:rsid w:val="00B61FC5"/>
    <w:rsid w:val="00B72F64"/>
    <w:rsid w:val="00B76345"/>
    <w:rsid w:val="00B83E53"/>
    <w:rsid w:val="00B92807"/>
    <w:rsid w:val="00BA126F"/>
    <w:rsid w:val="00BA7098"/>
    <w:rsid w:val="00BA70DF"/>
    <w:rsid w:val="00BC1BDA"/>
    <w:rsid w:val="00BF0D08"/>
    <w:rsid w:val="00BF71EF"/>
    <w:rsid w:val="00C005A4"/>
    <w:rsid w:val="00C05DDA"/>
    <w:rsid w:val="00C074DF"/>
    <w:rsid w:val="00C12DC7"/>
    <w:rsid w:val="00C154B5"/>
    <w:rsid w:val="00C229BC"/>
    <w:rsid w:val="00C24CA6"/>
    <w:rsid w:val="00C34522"/>
    <w:rsid w:val="00C35B93"/>
    <w:rsid w:val="00C6205E"/>
    <w:rsid w:val="00C64DFE"/>
    <w:rsid w:val="00C73D44"/>
    <w:rsid w:val="00C94A5E"/>
    <w:rsid w:val="00CA0099"/>
    <w:rsid w:val="00CA20EF"/>
    <w:rsid w:val="00CA29F9"/>
    <w:rsid w:val="00CC355C"/>
    <w:rsid w:val="00CE06F6"/>
    <w:rsid w:val="00CF18F5"/>
    <w:rsid w:val="00CF71AC"/>
    <w:rsid w:val="00D05DE1"/>
    <w:rsid w:val="00D26740"/>
    <w:rsid w:val="00D41B0E"/>
    <w:rsid w:val="00DA2C0C"/>
    <w:rsid w:val="00DA32E5"/>
    <w:rsid w:val="00DA6724"/>
    <w:rsid w:val="00DC5A6E"/>
    <w:rsid w:val="00DD72F6"/>
    <w:rsid w:val="00DE58CA"/>
    <w:rsid w:val="00DF2EC7"/>
    <w:rsid w:val="00E3152B"/>
    <w:rsid w:val="00E339C8"/>
    <w:rsid w:val="00E5091E"/>
    <w:rsid w:val="00E548A2"/>
    <w:rsid w:val="00EB7B31"/>
    <w:rsid w:val="00EC3F48"/>
    <w:rsid w:val="00EC758F"/>
    <w:rsid w:val="00EE0A75"/>
    <w:rsid w:val="00F04772"/>
    <w:rsid w:val="00F05A7A"/>
    <w:rsid w:val="00F403A5"/>
    <w:rsid w:val="00F522AB"/>
    <w:rsid w:val="00F57123"/>
    <w:rsid w:val="00F57784"/>
    <w:rsid w:val="00F61137"/>
    <w:rsid w:val="00FA1AF7"/>
    <w:rsid w:val="00FA1F02"/>
    <w:rsid w:val="00FB27C5"/>
    <w:rsid w:val="00FB34AC"/>
    <w:rsid w:val="00FC27C6"/>
    <w:rsid w:val="00FC55A0"/>
    <w:rsid w:val="018D0F17"/>
    <w:rsid w:val="01B52A2A"/>
    <w:rsid w:val="024F22DC"/>
    <w:rsid w:val="031D5C5E"/>
    <w:rsid w:val="03E05C76"/>
    <w:rsid w:val="067D6781"/>
    <w:rsid w:val="077618C1"/>
    <w:rsid w:val="09520998"/>
    <w:rsid w:val="098F1B44"/>
    <w:rsid w:val="0CFD0D71"/>
    <w:rsid w:val="0F142950"/>
    <w:rsid w:val="10D22CA2"/>
    <w:rsid w:val="128D0B20"/>
    <w:rsid w:val="163421FC"/>
    <w:rsid w:val="17846BA9"/>
    <w:rsid w:val="187F5606"/>
    <w:rsid w:val="18A22FF9"/>
    <w:rsid w:val="1A9B5E45"/>
    <w:rsid w:val="1AC01D56"/>
    <w:rsid w:val="1B563200"/>
    <w:rsid w:val="1BF40390"/>
    <w:rsid w:val="1EB678A8"/>
    <w:rsid w:val="1EE2069D"/>
    <w:rsid w:val="1F031464"/>
    <w:rsid w:val="21D463BD"/>
    <w:rsid w:val="22877591"/>
    <w:rsid w:val="23E80503"/>
    <w:rsid w:val="254052F8"/>
    <w:rsid w:val="259F1096"/>
    <w:rsid w:val="294E77D3"/>
    <w:rsid w:val="2A6F13E6"/>
    <w:rsid w:val="2AFE685E"/>
    <w:rsid w:val="2CEF349E"/>
    <w:rsid w:val="2DC37D0D"/>
    <w:rsid w:val="2E934259"/>
    <w:rsid w:val="2F6649D2"/>
    <w:rsid w:val="2FAD0921"/>
    <w:rsid w:val="316118F5"/>
    <w:rsid w:val="32D34B18"/>
    <w:rsid w:val="333D6049"/>
    <w:rsid w:val="336A2CE3"/>
    <w:rsid w:val="367639F5"/>
    <w:rsid w:val="39375906"/>
    <w:rsid w:val="394444A8"/>
    <w:rsid w:val="39CE4E1E"/>
    <w:rsid w:val="39E14D60"/>
    <w:rsid w:val="3D0870C9"/>
    <w:rsid w:val="3E1B091D"/>
    <w:rsid w:val="3F9A6CD7"/>
    <w:rsid w:val="3FC71F1C"/>
    <w:rsid w:val="4271140A"/>
    <w:rsid w:val="439E0787"/>
    <w:rsid w:val="43A12D12"/>
    <w:rsid w:val="453B44DF"/>
    <w:rsid w:val="481A7646"/>
    <w:rsid w:val="48C942C8"/>
    <w:rsid w:val="4A3878D1"/>
    <w:rsid w:val="4AA62F56"/>
    <w:rsid w:val="4B1A06F3"/>
    <w:rsid w:val="4DB56D8D"/>
    <w:rsid w:val="4F410A7D"/>
    <w:rsid w:val="4FE13ED5"/>
    <w:rsid w:val="525A7F6F"/>
    <w:rsid w:val="54E944B4"/>
    <w:rsid w:val="58955BD5"/>
    <w:rsid w:val="58F205B3"/>
    <w:rsid w:val="593969A1"/>
    <w:rsid w:val="5AE97686"/>
    <w:rsid w:val="5BF56327"/>
    <w:rsid w:val="5CE959AF"/>
    <w:rsid w:val="5E4915C3"/>
    <w:rsid w:val="611E2C74"/>
    <w:rsid w:val="61E85176"/>
    <w:rsid w:val="625C1776"/>
    <w:rsid w:val="62A95D91"/>
    <w:rsid w:val="632B2E4B"/>
    <w:rsid w:val="6389534D"/>
    <w:rsid w:val="6646323B"/>
    <w:rsid w:val="664B39FF"/>
    <w:rsid w:val="66556918"/>
    <w:rsid w:val="67854E46"/>
    <w:rsid w:val="68C56A31"/>
    <w:rsid w:val="6AA10091"/>
    <w:rsid w:val="6B1A2C76"/>
    <w:rsid w:val="6C77554D"/>
    <w:rsid w:val="6C841DB9"/>
    <w:rsid w:val="6CA36C85"/>
    <w:rsid w:val="6DC31366"/>
    <w:rsid w:val="6EB176AD"/>
    <w:rsid w:val="70172DC5"/>
    <w:rsid w:val="73B9775D"/>
    <w:rsid w:val="73CB0499"/>
    <w:rsid w:val="75751569"/>
    <w:rsid w:val="7758241F"/>
    <w:rsid w:val="77C5682E"/>
    <w:rsid w:val="77D44CB4"/>
    <w:rsid w:val="785620C8"/>
    <w:rsid w:val="792D1014"/>
    <w:rsid w:val="7A3C34E5"/>
    <w:rsid w:val="7A6A66F1"/>
    <w:rsid w:val="7B8C57BB"/>
    <w:rsid w:val="7C1C1AC1"/>
    <w:rsid w:val="7EF655F4"/>
    <w:rsid w:val="7EFE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Document Map"/>
    <w:basedOn w:val="1"/>
    <w:link w:val="14"/>
    <w:autoRedefine/>
    <w:qFormat/>
    <w:uiPriority w:val="0"/>
    <w:rPr>
      <w:rFonts w:ascii="宋体"/>
      <w:sz w:val="18"/>
      <w:szCs w:val="18"/>
    </w:rPr>
  </w:style>
  <w:style w:type="paragraph" w:styleId="3">
    <w:name w:val="annotation text"/>
    <w:basedOn w:val="1"/>
    <w:autoRedefine/>
    <w:semiHidden/>
    <w:qFormat/>
    <w:uiPriority w:val="0"/>
    <w:pPr>
      <w:jc w:val="left"/>
    </w:pPr>
  </w:style>
  <w:style w:type="paragraph" w:styleId="4">
    <w:name w:val="Body Text Indent"/>
    <w:basedOn w:val="1"/>
    <w:autoRedefine/>
    <w:qFormat/>
    <w:uiPriority w:val="0"/>
    <w:pPr>
      <w:ind w:firstLine="560" w:firstLineChars="211"/>
    </w:pPr>
    <w:rPr>
      <w:rFonts w:ascii="仿宋_GB2312" w:eastAsia="仿宋_GB2312"/>
      <w:b/>
      <w:color w:val="000000"/>
      <w:sz w:val="28"/>
      <w:szCs w:val="28"/>
    </w:rPr>
  </w:style>
  <w:style w:type="paragraph" w:styleId="5">
    <w:name w:val="Balloon Text"/>
    <w:basedOn w:val="1"/>
    <w:autoRedefine/>
    <w:semiHidden/>
    <w:qFormat/>
    <w:uiPriority w:val="0"/>
    <w:rPr>
      <w:sz w:val="18"/>
      <w:szCs w:val="18"/>
    </w:rPr>
  </w:style>
  <w:style w:type="paragraph" w:styleId="6">
    <w:name w:val="footer"/>
    <w:basedOn w:val="1"/>
    <w:link w:val="15"/>
    <w:autoRedefine/>
    <w:qFormat/>
    <w:uiPriority w:val="99"/>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autoRedefine/>
    <w:semiHidden/>
    <w:qFormat/>
    <w:uiPriority w:val="0"/>
    <w:rPr>
      <w:b/>
      <w:bCs/>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autoRedefine/>
    <w:qFormat/>
    <w:uiPriority w:val="0"/>
  </w:style>
  <w:style w:type="character" w:styleId="13">
    <w:name w:val="annotation reference"/>
    <w:autoRedefine/>
    <w:semiHidden/>
    <w:qFormat/>
    <w:uiPriority w:val="0"/>
    <w:rPr>
      <w:sz w:val="21"/>
      <w:szCs w:val="21"/>
    </w:rPr>
  </w:style>
  <w:style w:type="character" w:customStyle="1" w:styleId="14">
    <w:name w:val="文档结构图 Char"/>
    <w:link w:val="2"/>
    <w:autoRedefine/>
    <w:qFormat/>
    <w:uiPriority w:val="0"/>
    <w:rPr>
      <w:rFonts w:ascii="宋体"/>
      <w:kern w:val="2"/>
      <w:sz w:val="18"/>
      <w:szCs w:val="18"/>
    </w:rPr>
  </w:style>
  <w:style w:type="character" w:customStyle="1" w:styleId="15">
    <w:name w:val="页脚 Char"/>
    <w:basedOn w:val="11"/>
    <w:link w:val="6"/>
    <w:autoRedefine/>
    <w:qFormat/>
    <w:uiPriority w:val="99"/>
    <w:rPr>
      <w:kern w:val="2"/>
      <w:sz w:val="18"/>
      <w:szCs w:val="18"/>
    </w:rPr>
  </w:style>
  <w:style w:type="paragraph" w:customStyle="1" w:styleId="16">
    <w:name w:val="G表头"/>
    <w:next w:val="17"/>
    <w:qFormat/>
    <w:uiPriority w:val="0"/>
    <w:pPr>
      <w:widowControl w:val="0"/>
      <w:tabs>
        <w:tab w:val="center" w:pos="4410"/>
        <w:tab w:val="right" w:pos="8820"/>
      </w:tabs>
      <w:adjustRightInd w:val="0"/>
      <w:spacing w:before="50" w:beforeLines="50" w:after="25" w:afterLines="25"/>
      <w:jc w:val="center"/>
      <w:textAlignment w:val="baseline"/>
      <w:outlineLvl w:val="2"/>
    </w:pPr>
    <w:rPr>
      <w:rFonts w:ascii="Times New Roman" w:hAnsi="Times New Roman" w:eastAsia="楷体_GB2312" w:cs="Times New Roman"/>
      <w:b/>
      <w:kern w:val="2"/>
      <w:sz w:val="32"/>
      <w:szCs w:val="24"/>
      <w:lang w:val="en-US" w:eastAsia="zh-CN" w:bidi="ar-SA"/>
    </w:rPr>
  </w:style>
  <w:style w:type="paragraph" w:customStyle="1" w:styleId="17">
    <w:name w:val="G表内容"/>
    <w:qFormat/>
    <w:uiPriority w:val="99"/>
    <w:pPr>
      <w:widowControl w:val="0"/>
      <w:adjustRightInd w:val="0"/>
      <w:snapToGrid w:val="0"/>
      <w:spacing w:before="15" w:beforeLines="15" w:after="15" w:afterLines="15"/>
      <w:jc w:val="center"/>
      <w:textAlignment w:val="baseline"/>
    </w:pPr>
    <w:rPr>
      <w:rFonts w:ascii="Times New Roman" w:hAnsi="Times New Roman" w:eastAsia="仿宋_GB2312" w:cs="Times New Roman"/>
      <w:kern w:val="2"/>
      <w:sz w:val="24"/>
      <w:szCs w:val="21"/>
      <w:lang w:val="en-US" w:eastAsia="zh-CN" w:bidi="ar-SA"/>
    </w:rPr>
  </w:style>
  <w:style w:type="paragraph" w:customStyle="1" w:styleId="18">
    <w:name w:val="G0"/>
    <w:qFormat/>
    <w:uiPriority w:val="99"/>
    <w:pPr>
      <w:widowControl w:val="0"/>
      <w:adjustRightInd w:val="0"/>
      <w:snapToGrid w:val="0"/>
      <w:jc w:val="center"/>
      <w:textAlignment w:val="baseline"/>
      <w:outlineLvl w:val="0"/>
    </w:pPr>
    <w:rPr>
      <w:rFonts w:ascii="方正小标宋简体" w:hAnsi="方正小标宋简体" w:eastAsia="方正小标宋简体" w:cs="方正小标宋简体"/>
      <w:kern w:val="2"/>
      <w:sz w:val="44"/>
      <w:szCs w:val="36"/>
      <w:lang w:val="en-US" w:eastAsia="zh-CN" w:bidi="ar-SA"/>
    </w:rPr>
  </w:style>
  <w:style w:type="paragraph" w:customStyle="1" w:styleId="19">
    <w:name w:val="G正文"/>
    <w:qFormat/>
    <w:uiPriority w:val="0"/>
    <w:pPr>
      <w:widowControl w:val="0"/>
      <w:adjustRightInd w:val="0"/>
      <w:snapToGrid w:val="0"/>
      <w:spacing w:line="600" w:lineRule="exact"/>
      <w:ind w:firstLine="200" w:firstLineChars="200"/>
      <w:jc w:val="both"/>
      <w:textAlignment w:val="baseline"/>
    </w:pPr>
    <w:rPr>
      <w:rFonts w:ascii="Times New Roman" w:hAnsi="Times New Roman" w:eastAsia="仿宋_GB2312" w:cs="Times New Roman"/>
      <w:sz w:val="32"/>
      <w:szCs w:val="24"/>
      <w:lang w:val="en-US" w:eastAsia="zh-CN" w:bidi="ar-SA"/>
    </w:rPr>
  </w:style>
  <w:style w:type="paragraph" w:customStyle="1" w:styleId="20">
    <w:name w:val="G3"/>
    <w:next w:val="19"/>
    <w:qFormat/>
    <w:uiPriority w:val="0"/>
    <w:pPr>
      <w:widowControl w:val="0"/>
      <w:spacing w:line="600" w:lineRule="exact"/>
      <w:ind w:firstLine="200" w:firstLineChars="200"/>
      <w:jc w:val="both"/>
      <w:textAlignment w:val="baseline"/>
      <w:outlineLvl w:val="2"/>
    </w:pPr>
    <w:rPr>
      <w:rFonts w:ascii="Times New Roman" w:hAnsi="Times New Roman" w:eastAsia="楷体_GB2312" w:cs="Times New Roman"/>
      <w:b/>
      <w:color w:val="000000"/>
      <w:kern w:val="44"/>
      <w:sz w:val="30"/>
      <w:szCs w:val="21"/>
      <w:lang w:val="en-US" w:eastAsia="zh-CN" w:bidi="ar-SA"/>
    </w:rPr>
  </w:style>
  <w:style w:type="paragraph" w:customStyle="1" w:styleId="21">
    <w:name w:val="G附注"/>
    <w:qFormat/>
    <w:uiPriority w:val="0"/>
    <w:pPr>
      <w:widowControl w:val="0"/>
      <w:adjustRightInd w:val="0"/>
      <w:snapToGrid w:val="0"/>
      <w:spacing w:beforeLines="20" w:afterLines="50" w:line="300" w:lineRule="auto"/>
      <w:jc w:val="both"/>
      <w:textAlignment w:val="baseline"/>
    </w:pPr>
    <w:rPr>
      <w:rFonts w:ascii="Times New Roman" w:hAnsi="Times New Roman" w:eastAsia="宋体" w:cs="Times New Roman"/>
      <w:kern w:val="2"/>
      <w:sz w:val="24"/>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77</Pages>
  <Words>27796</Words>
  <Characters>29159</Characters>
  <Lines>21</Lines>
  <Paragraphs>6</Paragraphs>
  <TotalTime>4</TotalTime>
  <ScaleCrop>false</ScaleCrop>
  <LinksUpToDate>false</LinksUpToDate>
  <CharactersWithSpaces>29876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2018-10-12T14:56:00Z</dcterms:created>
  <dc:creator>Lenovo User</dc:creator>
  <cp:lastModifiedBy>荷笠带斜阳</cp:lastModifiedBy>
  <cp:lastPrinted>2022-06-01T08:29:00Z</cp:lastPrinted>
  <dcterms:modified xsi:type="dcterms:W3CDTF">2025-03-07T10:46:46Z</dcterms:modified>
  <dc:title>安全生产标准化服务合同书</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BBAA77D4D6FD45B0BF12F311FE883616_13</vt:lpwstr>
  </property>
  <property fmtid="{D5CDD505-2E9C-101B-9397-08002B2CF9AE}" pid="4" name="KSOTemplateDocerSaveRecord">
    <vt:lpwstr>eyJoZGlkIjoiNDg3MTM5NjYwMDJlZGQxZjRhNzJlNWIzZmZhODUxMTgiLCJ1c2VySWQiOiI1NDgwNjc2NTIifQ==</vt:lpwstr>
  </property>
</Properties>
</file>