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95CB5">
      <w:pPr>
        <w:keepNext w:val="0"/>
        <w:keepLines w:val="0"/>
        <w:pageBreakBefore w:val="0"/>
        <w:widowControl w:val="0"/>
        <w:kinsoku/>
        <w:wordWrap w:val="0"/>
        <w:overflowPunct/>
        <w:topLinePunct w:val="0"/>
        <w:autoSpaceDE/>
        <w:autoSpaceDN/>
        <w:bidi w:val="0"/>
        <w:adjustRightInd/>
        <w:snapToGrid w:val="0"/>
        <w:spacing w:line="360" w:lineRule="auto"/>
        <w:jc w:val="right"/>
        <w:textAlignment w:val="auto"/>
        <w:rPr>
          <w:rFonts w:hint="eastAsia" w:ascii="仿宋" w:hAnsi="仿宋" w:eastAsia="仿宋" w:cs="仿宋"/>
          <w:spacing w:val="8"/>
          <w:sz w:val="30"/>
          <w:szCs w:val="30"/>
          <w:highlight w:val="none"/>
          <w:lang w:val="en-US" w:eastAsia="zh-CN"/>
        </w:rPr>
      </w:pPr>
      <w:r>
        <w:rPr>
          <w:rFonts w:hint="eastAsia" w:ascii="仿宋" w:hAnsi="仿宋" w:eastAsia="仿宋" w:cs="仿宋"/>
          <w:spacing w:val="8"/>
          <w:sz w:val="30"/>
          <w:szCs w:val="30"/>
          <w:highlight w:val="none"/>
        </w:rPr>
        <w:t xml:space="preserve">          合同编号：</w:t>
      </w:r>
      <w:r>
        <w:rPr>
          <w:rFonts w:hint="eastAsia" w:ascii="仿宋" w:hAnsi="仿宋" w:eastAsia="仿宋" w:cs="仿宋"/>
          <w:spacing w:val="8"/>
          <w:sz w:val="30"/>
          <w:szCs w:val="30"/>
          <w:highlight w:val="none"/>
          <w:lang w:val="en-US" w:eastAsia="zh-CN"/>
        </w:rPr>
        <w:t>TLJX-20250407-001</w:t>
      </w:r>
    </w:p>
    <w:p w14:paraId="5734D37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2FF404B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254ACF25">
      <w:pPr>
        <w:keepNext w:val="0"/>
        <w:keepLines w:val="0"/>
        <w:pageBreakBefore w:val="0"/>
        <w:widowControl w:val="0"/>
        <w:kinsoku/>
        <w:wordWrap w:val="0"/>
        <w:overflowPunct/>
        <w:topLinePunct w:val="0"/>
        <w:autoSpaceDE/>
        <w:autoSpaceDN/>
        <w:bidi w:val="0"/>
        <w:adjustRightInd/>
        <w:snapToGrid w:val="0"/>
        <w:spacing w:line="360" w:lineRule="auto"/>
        <w:ind w:left="2528" w:hanging="2688" w:hangingChars="800"/>
        <w:jc w:val="center"/>
        <w:textAlignment w:val="auto"/>
        <w:rPr>
          <w:rFonts w:hint="eastAsia" w:ascii="仿宋" w:hAnsi="仿宋" w:eastAsia="仿宋" w:cs="仿宋"/>
          <w:b/>
          <w:bCs/>
          <w:spacing w:val="8"/>
          <w:sz w:val="32"/>
          <w:szCs w:val="32"/>
          <w:highlight w:val="none"/>
        </w:rPr>
      </w:pPr>
      <w:r>
        <w:rPr>
          <w:rFonts w:hint="eastAsia" w:ascii="仿宋" w:hAnsi="仿宋" w:eastAsia="仿宋" w:cs="仿宋"/>
          <w:spacing w:val="8"/>
          <w:sz w:val="32"/>
          <w:szCs w:val="32"/>
          <w:highlight w:val="none"/>
        </w:rPr>
        <w:t>【</w:t>
      </w:r>
      <w:r>
        <w:rPr>
          <w:rFonts w:hint="eastAsia" w:ascii="仿宋" w:hAnsi="仿宋" w:eastAsia="仿宋" w:cs="仿宋"/>
          <w:b/>
          <w:bCs/>
          <w:spacing w:val="8"/>
          <w:sz w:val="32"/>
          <w:szCs w:val="32"/>
          <w:highlight w:val="none"/>
          <w:shd w:val="clear"/>
        </w:rPr>
        <w:t>材料采购及安装合同</w:t>
      </w:r>
      <w:r>
        <w:rPr>
          <w:rFonts w:hint="eastAsia" w:ascii="仿宋" w:hAnsi="仿宋" w:eastAsia="仿宋" w:cs="仿宋"/>
          <w:color w:val="auto"/>
          <w:spacing w:val="8"/>
          <w:sz w:val="32"/>
          <w:szCs w:val="32"/>
          <w:highlight w:val="none"/>
        </w:rPr>
        <w:t>】</w:t>
      </w:r>
    </w:p>
    <w:p w14:paraId="20BB9A6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493DB30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6A96D9D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default" w:ascii="仿宋" w:hAnsi="仿宋" w:eastAsia="仿宋" w:cs="仿宋"/>
          <w:color w:val="auto"/>
          <w:spacing w:val="8"/>
          <w:sz w:val="28"/>
          <w:szCs w:val="28"/>
          <w:highlight w:val="none"/>
          <w:lang w:val="en-US" w:eastAsia="zh-CN"/>
        </w:rPr>
      </w:pPr>
      <w:r>
        <w:rPr>
          <w:rFonts w:hint="eastAsia" w:ascii="仿宋" w:hAnsi="仿宋" w:eastAsia="仿宋" w:cs="仿宋"/>
          <w:color w:val="auto"/>
          <w:spacing w:val="8"/>
          <w:sz w:val="28"/>
          <w:szCs w:val="28"/>
          <w:highlight w:val="none"/>
          <w:lang w:eastAsia="zh-CN"/>
        </w:rPr>
        <w:t>工程名称：</w:t>
      </w:r>
      <w:r>
        <w:rPr>
          <w:rFonts w:hint="eastAsia" w:ascii="仿宋" w:hAnsi="仿宋" w:eastAsia="仿宋" w:cs="仿宋"/>
          <w:color w:val="000000"/>
          <w:sz w:val="28"/>
          <w:szCs w:val="28"/>
          <w:lang w:val="en-US" w:eastAsia="zh-CN"/>
        </w:rPr>
        <w:t>画堂春锦二期交付围挡画面制作及安装</w:t>
      </w:r>
    </w:p>
    <w:p w14:paraId="4F54820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1E1BF1DD">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012ACC7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default" w:ascii="仿宋" w:hAnsi="仿宋" w:eastAsia="仿宋" w:cs="仿宋"/>
          <w:color w:val="auto"/>
          <w:spacing w:val="8"/>
          <w:sz w:val="28"/>
          <w:szCs w:val="28"/>
          <w:highlight w:val="none"/>
          <w:lang w:val="en-US" w:eastAsia="zh-CN"/>
        </w:rPr>
      </w:pPr>
      <w:r>
        <w:rPr>
          <w:rFonts w:hint="eastAsia" w:ascii="仿宋" w:hAnsi="仿宋" w:eastAsia="仿宋" w:cs="仿宋"/>
          <w:color w:val="auto"/>
          <w:spacing w:val="8"/>
          <w:sz w:val="28"/>
          <w:szCs w:val="28"/>
          <w:highlight w:val="none"/>
        </w:rPr>
        <w:t>甲方：</w:t>
      </w:r>
      <w:r>
        <w:rPr>
          <w:rFonts w:hint="eastAsia" w:ascii="仿宋" w:hAnsi="仿宋" w:eastAsia="仿宋" w:cs="仿宋"/>
          <w:color w:val="auto"/>
          <w:spacing w:val="8"/>
          <w:sz w:val="28"/>
          <w:szCs w:val="28"/>
          <w:highlight w:val="none"/>
          <w:lang w:eastAsia="zh-CN"/>
        </w:rPr>
        <w:t>新疆通力房地产开发有限公司库尔勒二分公司</w:t>
      </w:r>
    </w:p>
    <w:p w14:paraId="599E14C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r>
        <w:rPr>
          <w:rFonts w:hint="eastAsia" w:ascii="仿宋" w:hAnsi="仿宋" w:eastAsia="仿宋" w:cs="仿宋"/>
          <w:color w:val="auto"/>
          <w:spacing w:val="8"/>
          <w:sz w:val="28"/>
          <w:szCs w:val="28"/>
          <w:highlight w:val="none"/>
        </w:rPr>
        <w:t>乙方：</w:t>
      </w:r>
      <w:r>
        <w:rPr>
          <w:rFonts w:hint="eastAsia" w:ascii="仿宋" w:hAnsi="仿宋" w:eastAsia="仿宋" w:cs="仿宋"/>
          <w:color w:val="auto"/>
          <w:spacing w:val="8"/>
          <w:sz w:val="28"/>
          <w:szCs w:val="28"/>
          <w:highlight w:val="none"/>
          <w:lang w:eastAsia="zh-CN"/>
        </w:rPr>
        <w:t>巴州方程视广告有限公司</w:t>
      </w:r>
    </w:p>
    <w:p w14:paraId="510F7FA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7B5474CF">
      <w:pPr>
        <w:keepNext w:val="0"/>
        <w:keepLines w:val="0"/>
        <w:pageBreakBefore w:val="0"/>
        <w:widowControl w:val="0"/>
        <w:shd w:val="clear"/>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rPr>
        <w:t>签订时间：</w:t>
      </w:r>
      <w:permStart w:id="0" w:edGrp="everyone"/>
      <w:r>
        <w:rPr>
          <w:rFonts w:hint="eastAsia" w:ascii="仿宋" w:hAnsi="仿宋" w:eastAsia="仿宋" w:cs="仿宋"/>
          <w:spacing w:val="8"/>
          <w:sz w:val="28"/>
          <w:szCs w:val="28"/>
          <w:highlight w:val="none"/>
          <w:shd w:val="clear"/>
          <w:lang w:val="en-US" w:eastAsia="zh-CN"/>
        </w:rPr>
        <w:t>2025</w:t>
      </w:r>
      <w:permEnd w:id="0"/>
      <w:r>
        <w:rPr>
          <w:rFonts w:hint="eastAsia" w:ascii="仿宋" w:hAnsi="仿宋" w:eastAsia="仿宋" w:cs="仿宋"/>
          <w:spacing w:val="8"/>
          <w:sz w:val="28"/>
          <w:szCs w:val="28"/>
          <w:highlight w:val="none"/>
        </w:rPr>
        <w:t>年</w:t>
      </w:r>
      <w:permStart w:id="1" w:edGrp="everyone"/>
      <w:r>
        <w:rPr>
          <w:rFonts w:hint="eastAsia" w:ascii="仿宋" w:hAnsi="仿宋" w:eastAsia="仿宋" w:cs="仿宋"/>
          <w:spacing w:val="8"/>
          <w:sz w:val="28"/>
          <w:szCs w:val="28"/>
          <w:highlight w:val="none"/>
          <w:shd w:val="clear"/>
          <w:lang w:val="en-US" w:eastAsia="zh-CN"/>
        </w:rPr>
        <w:t>04</w:t>
      </w:r>
      <w:permEnd w:id="1"/>
      <w:r>
        <w:rPr>
          <w:rFonts w:hint="eastAsia" w:ascii="仿宋" w:hAnsi="仿宋" w:eastAsia="仿宋" w:cs="仿宋"/>
          <w:spacing w:val="8"/>
          <w:sz w:val="28"/>
          <w:szCs w:val="28"/>
          <w:highlight w:val="none"/>
        </w:rPr>
        <w:t>月</w:t>
      </w:r>
      <w:permStart w:id="2" w:edGrp="everyone"/>
      <w:r>
        <w:rPr>
          <w:rFonts w:hint="eastAsia" w:ascii="仿宋" w:hAnsi="仿宋" w:eastAsia="仿宋" w:cs="仿宋"/>
          <w:spacing w:val="8"/>
          <w:sz w:val="28"/>
          <w:szCs w:val="28"/>
          <w:highlight w:val="none"/>
          <w:shd w:val="clear"/>
          <w:lang w:val="en-US" w:eastAsia="zh-CN"/>
        </w:rPr>
        <w:t>07</w:t>
      </w:r>
      <w:permEnd w:id="2"/>
      <w:r>
        <w:rPr>
          <w:rFonts w:hint="eastAsia" w:ascii="仿宋" w:hAnsi="仿宋" w:eastAsia="仿宋" w:cs="仿宋"/>
          <w:spacing w:val="8"/>
          <w:sz w:val="28"/>
          <w:szCs w:val="28"/>
          <w:highlight w:val="none"/>
          <w:shd w:val="clear"/>
          <w:lang w:val="en-US" w:eastAsia="zh-CN"/>
        </w:rPr>
        <w:t>日</w:t>
      </w:r>
    </w:p>
    <w:p w14:paraId="6C0D3B6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shd w:val="clear"/>
          <w:lang w:eastAsia="zh-CN"/>
        </w:rPr>
      </w:pPr>
      <w:r>
        <w:rPr>
          <w:rFonts w:hint="eastAsia" w:ascii="仿宋" w:hAnsi="仿宋" w:eastAsia="仿宋" w:cs="仿宋"/>
          <w:spacing w:val="8"/>
          <w:sz w:val="28"/>
          <w:szCs w:val="28"/>
          <w:highlight w:val="none"/>
        </w:rPr>
        <w:t>签订地点：</w:t>
      </w:r>
      <w:permStart w:id="3" w:edGrp="everyone"/>
      <w:r>
        <w:rPr>
          <w:rFonts w:hint="eastAsia" w:ascii="仿宋" w:hAnsi="仿宋" w:eastAsia="仿宋" w:cs="仿宋"/>
          <w:spacing w:val="8"/>
          <w:sz w:val="28"/>
          <w:szCs w:val="28"/>
          <w:highlight w:val="none"/>
          <w:shd w:val="clear"/>
          <w:lang w:val="en-US" w:eastAsia="zh-CN"/>
        </w:rPr>
        <w:t>库尔勒</w:t>
      </w:r>
      <w:r>
        <w:rPr>
          <w:rFonts w:hint="eastAsia" w:ascii="仿宋" w:hAnsi="仿宋" w:eastAsia="仿宋" w:cs="仿宋"/>
          <w:spacing w:val="8"/>
          <w:sz w:val="28"/>
          <w:szCs w:val="28"/>
          <w:highlight w:val="none"/>
          <w:shd w:val="clear"/>
          <w:lang w:eastAsia="zh-CN"/>
        </w:rPr>
        <w:t>市</w:t>
      </w:r>
      <w:permEnd w:id="3"/>
    </w:p>
    <w:p w14:paraId="08A92389">
      <w:pPr>
        <w:rPr>
          <w:rFonts w:hint="eastAsia" w:ascii="仿宋" w:hAnsi="仿宋" w:eastAsia="仿宋" w:cs="仿宋"/>
          <w:b/>
          <w:spacing w:val="8"/>
          <w:sz w:val="24"/>
          <w:szCs w:val="24"/>
          <w:highlight w:val="none"/>
        </w:rPr>
      </w:pPr>
      <w:r>
        <w:rPr>
          <w:rFonts w:hint="eastAsia" w:ascii="仿宋" w:hAnsi="仿宋" w:eastAsia="仿宋" w:cs="仿宋"/>
          <w:b/>
          <w:spacing w:val="8"/>
          <w:sz w:val="24"/>
          <w:szCs w:val="24"/>
          <w:highlight w:val="none"/>
        </w:rPr>
        <w:br w:type="page"/>
      </w:r>
    </w:p>
    <w:p w14:paraId="1AE4063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lang w:eastAsia="zh-CN"/>
        </w:rPr>
      </w:pPr>
      <w:r>
        <w:rPr>
          <w:rFonts w:hint="eastAsia" w:ascii="仿宋" w:hAnsi="仿宋" w:eastAsia="仿宋" w:cs="仿宋"/>
          <w:b/>
          <w:spacing w:val="8"/>
          <w:sz w:val="24"/>
          <w:szCs w:val="24"/>
          <w:highlight w:val="none"/>
        </w:rPr>
        <w:t>甲方（买方）：</w:t>
      </w:r>
      <w:r>
        <w:rPr>
          <w:rFonts w:hint="eastAsia" w:ascii="仿宋" w:hAnsi="仿宋" w:eastAsia="仿宋" w:cs="仿宋"/>
          <w:b/>
          <w:spacing w:val="8"/>
          <w:sz w:val="24"/>
          <w:szCs w:val="24"/>
          <w:highlight w:val="none"/>
          <w:lang w:eastAsia="zh-CN"/>
        </w:rPr>
        <w:t>新疆通力房地产开发有限公司库尔勒二分公司</w:t>
      </w:r>
    </w:p>
    <w:p w14:paraId="43BA868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lang w:val="en-US" w:eastAsia="zh-CN"/>
        </w:rPr>
      </w:pPr>
      <w:r>
        <w:rPr>
          <w:rFonts w:hint="eastAsia" w:ascii="仿宋" w:hAnsi="仿宋" w:eastAsia="仿宋" w:cs="仿宋"/>
          <w:b/>
          <w:spacing w:val="8"/>
          <w:sz w:val="24"/>
          <w:szCs w:val="24"/>
          <w:highlight w:val="none"/>
        </w:rPr>
        <w:t>乙方（卖方）：</w:t>
      </w:r>
      <w:r>
        <w:rPr>
          <w:rFonts w:hint="eastAsia" w:ascii="仿宋" w:hAnsi="仿宋" w:eastAsia="仿宋" w:cs="仿宋"/>
          <w:b/>
          <w:spacing w:val="8"/>
          <w:sz w:val="24"/>
          <w:szCs w:val="24"/>
          <w:highlight w:val="none"/>
          <w:shd w:val="clear"/>
          <w:lang w:eastAsia="zh-CN"/>
        </w:rPr>
        <w:t>巴州方程视广告有限公司</w:t>
      </w:r>
    </w:p>
    <w:p w14:paraId="6CCF9500">
      <w:pPr>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甲方和乙方经过平等协商，在真实、充分地表达各自意愿的基础上，为明确甲方在</w:t>
      </w:r>
      <w:r>
        <w:rPr>
          <w:rFonts w:hint="eastAsia" w:ascii="仿宋" w:hAnsi="仿宋" w:eastAsia="仿宋" w:cs="仿宋"/>
          <w:sz w:val="24"/>
          <w:szCs w:val="24"/>
          <w:highlight w:val="none"/>
          <w:u w:val="single"/>
        </w:rPr>
        <w:t>画堂春锦二期交付围挡画面制作及安装</w:t>
      </w:r>
      <w:r>
        <w:rPr>
          <w:rFonts w:hint="eastAsia" w:ascii="仿宋" w:hAnsi="仿宋" w:eastAsia="仿宋" w:cs="仿宋"/>
          <w:sz w:val="24"/>
          <w:szCs w:val="24"/>
          <w:highlight w:val="none"/>
        </w:rPr>
        <w:t>项目（或工程）</w:t>
      </w:r>
      <w:r>
        <w:rPr>
          <w:rFonts w:hint="eastAsia" w:ascii="仿宋" w:hAnsi="仿宋" w:eastAsia="仿宋" w:cs="仿宋"/>
          <w:sz w:val="24"/>
          <w:szCs w:val="24"/>
          <w:highlight w:val="none"/>
          <w:shd w:val="clear"/>
          <w:lang w:val="en-US" w:eastAsia="zh-CN"/>
        </w:rPr>
        <w:t>,因</w:t>
      </w:r>
      <w:r>
        <w:rPr>
          <w:rFonts w:hint="eastAsia" w:ascii="仿宋" w:hAnsi="仿宋" w:eastAsia="仿宋"/>
          <w:color w:val="000000"/>
          <w:sz w:val="24"/>
          <w:u w:val="single"/>
          <w:lang w:val="en-US" w:eastAsia="zh-CN"/>
        </w:rPr>
        <w:t>广告制作</w:t>
      </w:r>
      <w:r>
        <w:rPr>
          <w:rFonts w:hint="eastAsia" w:ascii="仿宋" w:hAnsi="仿宋" w:eastAsia="仿宋" w:cs="仿宋"/>
          <w:sz w:val="24"/>
          <w:szCs w:val="24"/>
          <w:highlight w:val="none"/>
          <w:u w:val="none"/>
          <w:shd w:val="clear"/>
          <w:lang w:val="en-US" w:eastAsia="zh-CN"/>
        </w:rPr>
        <w:t>需要而向</w:t>
      </w:r>
      <w:r>
        <w:rPr>
          <w:rFonts w:hint="eastAsia" w:ascii="仿宋" w:hAnsi="仿宋" w:eastAsia="仿宋" w:cs="仿宋"/>
          <w:sz w:val="24"/>
          <w:szCs w:val="24"/>
          <w:highlight w:val="none"/>
          <w:shd w:val="clear"/>
        </w:rPr>
        <w:t>乙方</w:t>
      </w:r>
      <w:r>
        <w:rPr>
          <w:rFonts w:hint="eastAsia" w:ascii="仿宋" w:hAnsi="仿宋" w:eastAsia="仿宋" w:cs="仿宋"/>
          <w:sz w:val="24"/>
          <w:szCs w:val="24"/>
          <w:highlight w:val="none"/>
          <w:shd w:val="clear"/>
          <w:lang w:eastAsia="zh-CN"/>
        </w:rPr>
        <w:t>采购</w:t>
      </w:r>
      <w:r>
        <w:rPr>
          <w:rFonts w:hint="eastAsia" w:ascii="仿宋" w:hAnsi="仿宋" w:eastAsia="仿宋"/>
          <w:sz w:val="24"/>
          <w:u w:val="single"/>
          <w:lang w:val="en-US" w:eastAsia="zh-CN"/>
        </w:rPr>
        <w:t>喷绘布等</w:t>
      </w:r>
      <w:r>
        <w:rPr>
          <w:rFonts w:hint="eastAsia" w:ascii="仿宋" w:hAnsi="仿宋" w:eastAsia="仿宋" w:cs="仿宋"/>
          <w:sz w:val="24"/>
          <w:szCs w:val="24"/>
          <w:highlight w:val="none"/>
        </w:rPr>
        <w:t>材料并负责安装事宜中的权利义务，根据《中华人民共和国民法典》等相关法律法规的规定，达成如下协议：</w:t>
      </w:r>
    </w:p>
    <w:p w14:paraId="50851AD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rPr>
      </w:pPr>
      <w:r>
        <w:rPr>
          <w:rFonts w:hint="eastAsia" w:ascii="仿宋" w:hAnsi="仿宋" w:eastAsia="仿宋" w:cs="仿宋"/>
          <w:b/>
          <w:bCs/>
          <w:spacing w:val="8"/>
          <w:sz w:val="24"/>
          <w:szCs w:val="24"/>
          <w:highlight w:val="none"/>
        </w:rPr>
        <w:t>一、</w:t>
      </w:r>
      <w:r>
        <w:rPr>
          <w:rFonts w:hint="eastAsia" w:ascii="仿宋" w:hAnsi="仿宋" w:eastAsia="仿宋" w:cs="仿宋"/>
          <w:b/>
          <w:spacing w:val="8"/>
          <w:sz w:val="24"/>
          <w:szCs w:val="24"/>
          <w:highlight w:val="none"/>
        </w:rPr>
        <w:t>货物名称、规格型号、</w:t>
      </w:r>
      <w:r>
        <w:rPr>
          <w:rFonts w:hint="eastAsia" w:ascii="仿宋" w:hAnsi="仿宋" w:eastAsia="仿宋" w:cs="仿宋"/>
          <w:b/>
          <w:spacing w:val="8"/>
          <w:sz w:val="24"/>
          <w:szCs w:val="24"/>
          <w:highlight w:val="none"/>
          <w:lang w:eastAsia="zh-CN"/>
        </w:rPr>
        <w:t>产地品牌、</w:t>
      </w:r>
      <w:r>
        <w:rPr>
          <w:rFonts w:hint="eastAsia" w:ascii="仿宋" w:hAnsi="仿宋" w:eastAsia="仿宋" w:cs="仿宋"/>
          <w:b/>
          <w:spacing w:val="8"/>
          <w:sz w:val="24"/>
          <w:szCs w:val="24"/>
          <w:highlight w:val="none"/>
        </w:rPr>
        <w:t>计量单位、数量、单价、金额、质量。</w:t>
      </w:r>
    </w:p>
    <w:tbl>
      <w:tblPr>
        <w:tblStyle w:val="11"/>
        <w:tblW w:w="94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4"/>
        <w:gridCol w:w="1335"/>
        <w:gridCol w:w="1755"/>
        <w:gridCol w:w="1665"/>
        <w:gridCol w:w="686"/>
        <w:gridCol w:w="900"/>
        <w:gridCol w:w="1155"/>
        <w:gridCol w:w="1230"/>
      </w:tblGrid>
      <w:tr w14:paraId="41729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9420" w:type="dxa"/>
            <w:gridSpan w:val="8"/>
            <w:tcBorders>
              <w:top w:val="nil"/>
              <w:left w:val="nil"/>
              <w:bottom w:val="nil"/>
              <w:right w:val="nil"/>
            </w:tcBorders>
            <w:shd w:val="clear" w:color="auto" w:fill="auto"/>
            <w:noWrap/>
            <w:vAlign w:val="center"/>
          </w:tcPr>
          <w:p w14:paraId="60298E5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1"/>
                <w:szCs w:val="21"/>
                <w:highlight w:val="none"/>
                <w:u w:val="none"/>
              </w:rPr>
            </w:pPr>
            <w:permStart w:id="4" w:edGrp="everyone"/>
            <w:r>
              <w:rPr>
                <w:rFonts w:hint="eastAsia" w:ascii="仿宋" w:hAnsi="仿宋" w:eastAsia="仿宋" w:cs="仿宋"/>
                <w:b/>
                <w:bCs/>
                <w:i w:val="0"/>
                <w:iCs w:val="0"/>
                <w:color w:val="000000"/>
                <w:kern w:val="0"/>
                <w:sz w:val="21"/>
                <w:szCs w:val="21"/>
                <w:highlight w:val="none"/>
                <w:u w:val="none"/>
                <w:lang w:val="en-US" w:eastAsia="zh-CN" w:bidi="ar"/>
              </w:rPr>
              <w:t>采购材料清单</w:t>
            </w:r>
          </w:p>
        </w:tc>
      </w:tr>
      <w:tr w14:paraId="22BE8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94" w:type="dxa"/>
            <w:tcBorders>
              <w:top w:val="nil"/>
              <w:left w:val="nil"/>
              <w:bottom w:val="nil"/>
              <w:right w:val="nil"/>
            </w:tcBorders>
            <w:shd w:val="clear" w:color="auto" w:fill="auto"/>
            <w:noWrap/>
            <w:vAlign w:val="center"/>
          </w:tcPr>
          <w:p w14:paraId="53D8CC0D">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335" w:type="dxa"/>
            <w:tcBorders>
              <w:top w:val="nil"/>
              <w:left w:val="nil"/>
              <w:bottom w:val="nil"/>
              <w:right w:val="nil"/>
            </w:tcBorders>
            <w:shd w:val="clear" w:color="auto" w:fill="auto"/>
            <w:noWrap/>
            <w:vAlign w:val="center"/>
          </w:tcPr>
          <w:p w14:paraId="1FCE00A9">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755" w:type="dxa"/>
            <w:tcBorders>
              <w:top w:val="nil"/>
              <w:left w:val="nil"/>
              <w:bottom w:val="nil"/>
              <w:right w:val="nil"/>
            </w:tcBorders>
            <w:shd w:val="clear" w:color="auto" w:fill="auto"/>
            <w:noWrap/>
            <w:vAlign w:val="center"/>
          </w:tcPr>
          <w:p w14:paraId="29474BDB">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665" w:type="dxa"/>
            <w:tcBorders>
              <w:top w:val="nil"/>
              <w:left w:val="nil"/>
              <w:bottom w:val="nil"/>
              <w:right w:val="nil"/>
            </w:tcBorders>
            <w:shd w:val="clear" w:color="auto" w:fill="auto"/>
            <w:noWrap/>
            <w:vAlign w:val="center"/>
          </w:tcPr>
          <w:p w14:paraId="21413A3D">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686" w:type="dxa"/>
            <w:tcBorders>
              <w:top w:val="nil"/>
              <w:left w:val="nil"/>
              <w:bottom w:val="nil"/>
              <w:right w:val="nil"/>
            </w:tcBorders>
            <w:shd w:val="clear" w:color="auto" w:fill="auto"/>
            <w:noWrap/>
            <w:vAlign w:val="center"/>
          </w:tcPr>
          <w:p w14:paraId="00EFC536">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900" w:type="dxa"/>
            <w:tcBorders>
              <w:top w:val="nil"/>
              <w:left w:val="nil"/>
              <w:bottom w:val="nil"/>
              <w:right w:val="nil"/>
            </w:tcBorders>
            <w:shd w:val="clear" w:color="auto" w:fill="auto"/>
            <w:noWrap/>
            <w:vAlign w:val="center"/>
          </w:tcPr>
          <w:p w14:paraId="060F298C">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155" w:type="dxa"/>
            <w:tcBorders>
              <w:top w:val="nil"/>
              <w:left w:val="nil"/>
              <w:bottom w:val="nil"/>
              <w:right w:val="nil"/>
            </w:tcBorders>
            <w:shd w:val="clear" w:color="auto" w:fill="auto"/>
            <w:noWrap/>
            <w:vAlign w:val="center"/>
          </w:tcPr>
          <w:p w14:paraId="203B092B">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1"/>
                <w:szCs w:val="21"/>
                <w:highlight w:val="none"/>
                <w:u w:val="none"/>
              </w:rPr>
            </w:pPr>
          </w:p>
        </w:tc>
        <w:tc>
          <w:tcPr>
            <w:tcW w:w="1230" w:type="dxa"/>
            <w:tcBorders>
              <w:top w:val="nil"/>
              <w:left w:val="nil"/>
              <w:bottom w:val="nil"/>
              <w:right w:val="nil"/>
            </w:tcBorders>
            <w:shd w:val="clear" w:color="auto" w:fill="auto"/>
            <w:noWrap/>
            <w:vAlign w:val="center"/>
          </w:tcPr>
          <w:p w14:paraId="0305CEF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单位：元</w:t>
            </w:r>
          </w:p>
        </w:tc>
      </w:tr>
      <w:tr w14:paraId="29F3B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16E48">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序号</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D300">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材料名称</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BDEB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规格型号</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BD60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产地、品牌</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AE4E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7BB2">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578C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default"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结算单价</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B9B4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合同金额</w:t>
            </w:r>
          </w:p>
        </w:tc>
      </w:tr>
      <w:tr w14:paraId="3B4F6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343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3F8B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喷绘布</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34AC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2.5*191.6米</w:t>
            </w:r>
          </w:p>
          <w:p w14:paraId="5ED955D7">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3*114.1米</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15D7BB5">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default"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b w:val="0"/>
                <w:bCs w:val="0"/>
                <w:i w:val="0"/>
                <w:iCs w:val="0"/>
                <w:color w:val="000000"/>
                <w:kern w:val="0"/>
                <w:sz w:val="18"/>
                <w:szCs w:val="18"/>
                <w:highlight w:val="none"/>
                <w:u w:val="none"/>
                <w:lang w:val="en-US" w:eastAsia="zh-CN" w:bidi="ar"/>
              </w:rPr>
              <w:t>库尔勒</w:t>
            </w:r>
          </w:p>
        </w:tc>
        <w:tc>
          <w:tcPr>
            <w:tcW w:w="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D7D2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A576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821.3 </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AD31">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15 </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60957">
            <w:pPr>
              <w:keepNext w:val="0"/>
              <w:keepLines w:val="0"/>
              <w:widowControl/>
              <w:suppressLineNumbers w:val="0"/>
              <w:jc w:val="center"/>
              <w:textAlignment w:val="center"/>
              <w:rPr>
                <w:rFonts w:hint="eastAsia" w:ascii="仿宋" w:hAnsi="仿宋" w:eastAsia="仿宋" w:cs="仿宋"/>
                <w:b w:val="0"/>
                <w:bCs w:val="0"/>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12442.7 </w:t>
            </w:r>
          </w:p>
        </w:tc>
      </w:tr>
      <w:tr w14:paraId="579A0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jc w:val="center"/>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4A212">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i w:val="0"/>
                <w:iCs w:val="0"/>
                <w:color w:val="000000"/>
                <w:kern w:val="0"/>
                <w:sz w:val="18"/>
                <w:szCs w:val="18"/>
                <w:highlight w:val="none"/>
                <w:u w:val="none"/>
                <w:lang w:val="en-US" w:eastAsia="zh-CN" w:bidi="ar"/>
              </w:rPr>
              <w:t>合计</w:t>
            </w:r>
          </w:p>
        </w:tc>
        <w:tc>
          <w:tcPr>
            <w:tcW w:w="872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A9A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kern w:val="0"/>
                <w:sz w:val="18"/>
                <w:szCs w:val="18"/>
                <w:highlight w:val="none"/>
                <w:u w:val="none"/>
                <w:lang w:val="en-US" w:eastAsia="zh-CN" w:bidi="ar"/>
              </w:rPr>
            </w:pPr>
            <w:r>
              <w:rPr>
                <w:rFonts w:hint="eastAsia" w:ascii="仿宋" w:hAnsi="仿宋" w:eastAsia="仿宋" w:cs="仿宋"/>
                <w:b/>
                <w:bCs/>
                <w:sz w:val="21"/>
                <w:szCs w:val="21"/>
                <w:highlight w:val="none"/>
                <w:lang w:val="en-US" w:eastAsia="zh-CN"/>
              </w:rPr>
              <w:t>￥12442.7元（大写：壹万贰仟肆佰肆拾贰元柒角）</w:t>
            </w:r>
          </w:p>
        </w:tc>
      </w:tr>
      <w:tr w14:paraId="08268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94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799CA">
            <w:pPr>
              <w:keepNext w:val="0"/>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0"/>
                <w:szCs w:val="20"/>
                <w:highlight w:val="none"/>
                <w:u w:val="none"/>
                <w:lang w:val="en-US" w:eastAsia="zh-CN" w:bidi="ar"/>
              </w:rPr>
            </w:pPr>
            <w:r>
              <w:rPr>
                <w:rFonts w:hint="eastAsia" w:ascii="仿宋" w:hAnsi="仿宋" w:eastAsia="仿宋" w:cs="仿宋"/>
                <w:b/>
                <w:bCs/>
                <w:sz w:val="21"/>
                <w:szCs w:val="21"/>
                <w:highlight w:val="none"/>
                <w:lang w:val="en-US" w:eastAsia="zh-CN"/>
              </w:rPr>
              <w:t>注：具体数量尺寸以现场实际用量为准，如现场实际用量未超出本合同金额，则以单价*实际用量进行结算。如现场实际用量超出了本合同金额，则双方另行签订补充协议进行补充。</w:t>
            </w:r>
          </w:p>
        </w:tc>
      </w:tr>
      <w:permEnd w:id="4"/>
    </w:tbl>
    <w:p w14:paraId="001B07A9">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b/>
          <w:bCs/>
          <w:sz w:val="24"/>
          <w:szCs w:val="24"/>
          <w:highlight w:val="none"/>
          <w:lang w:eastAsia="zh-CN"/>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货物的质量标准，按照</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本工程设计图纸及技术规范要求</w:t>
      </w:r>
      <w:r>
        <w:rPr>
          <w:rFonts w:hint="eastAsia" w:ascii="仿宋" w:hAnsi="仿宋" w:eastAsia="仿宋" w:cs="仿宋"/>
          <w:kern w:val="0"/>
          <w:sz w:val="24"/>
          <w:szCs w:val="24"/>
          <w:highlight w:val="none"/>
        </w:rPr>
        <w:t>】</w:t>
      </w:r>
      <w:r>
        <w:rPr>
          <w:rFonts w:hint="eastAsia" w:ascii="仿宋" w:hAnsi="仿宋" w:eastAsia="仿宋" w:cs="仿宋"/>
          <w:sz w:val="24"/>
          <w:szCs w:val="24"/>
          <w:highlight w:val="none"/>
        </w:rPr>
        <w:t>执行。</w:t>
      </w:r>
      <w:r>
        <w:rPr>
          <w:rFonts w:hint="eastAsia" w:ascii="仿宋" w:hAnsi="仿宋" w:eastAsia="仿宋" w:cs="仿宋"/>
          <w:b/>
          <w:bCs/>
          <w:sz w:val="24"/>
          <w:szCs w:val="24"/>
          <w:highlight w:val="none"/>
          <w:lang w:eastAsia="zh-CN"/>
        </w:rPr>
        <w:t>乙方须提供产品或材料质量合格证或质量合格的证明。如须复检合格方可进场的，乙方须提供建设方认可的合法检测机构复检合格的证明。</w:t>
      </w:r>
      <w:r>
        <w:rPr>
          <w:rFonts w:hint="eastAsia" w:ascii="仿宋" w:hAnsi="仿宋" w:eastAsia="仿宋" w:cs="仿宋"/>
          <w:b/>
          <w:bCs/>
          <w:sz w:val="24"/>
          <w:szCs w:val="24"/>
          <w:highlight w:val="none"/>
        </w:rPr>
        <w:t>甲方特殊要求：“</w:t>
      </w:r>
      <w:r>
        <w:rPr>
          <w:rFonts w:hint="eastAsia" w:ascii="仿宋" w:hAnsi="仿宋" w:eastAsia="仿宋" w:cs="仿宋"/>
          <w:b/>
          <w:bCs/>
          <w:sz w:val="24"/>
          <w:szCs w:val="24"/>
          <w:highlight w:val="none"/>
          <w:lang w:eastAsia="zh-CN"/>
        </w:rPr>
        <w:t>不符合本工程设计及建设方质量、规格型号、数量等要求的供货及安装，甲方均不予结算</w:t>
      </w:r>
      <w:r>
        <w:rPr>
          <w:rFonts w:hint="eastAsia" w:ascii="仿宋" w:hAnsi="仿宋" w:eastAsia="仿宋" w:cs="仿宋"/>
          <w:b/>
          <w:bCs/>
          <w:sz w:val="24"/>
          <w:szCs w:val="24"/>
          <w:highlight w:val="none"/>
        </w:rPr>
        <w:t>”</w:t>
      </w:r>
      <w:r>
        <w:rPr>
          <w:rFonts w:hint="eastAsia" w:ascii="仿宋" w:hAnsi="仿宋" w:eastAsia="仿宋" w:cs="仿宋"/>
          <w:b/>
          <w:bCs/>
          <w:sz w:val="24"/>
          <w:szCs w:val="24"/>
          <w:highlight w:val="none"/>
          <w:lang w:eastAsia="zh-CN"/>
        </w:rPr>
        <w:t>。</w:t>
      </w:r>
    </w:p>
    <w:p w14:paraId="405097DB">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货物的包装物：包装物随货出售，由乙方负责货物包装物供应。乙方应提供货物运至合同规定的交货地点所需要的包装，以防止货物在转运中损坏或变质。这类包装应采取防潮、防晒、防锈、防腐蚀、防震动及防止其他损坏的必要保护措施，从而保护货物能够经受多次搬运、装卸及长途运输。</w:t>
      </w:r>
    </w:p>
    <w:p w14:paraId="221E7546">
      <w:pPr>
        <w:keepNext w:val="0"/>
        <w:keepLines w:val="0"/>
        <w:pageBreakBefore w:val="0"/>
        <w:widowControl w:val="0"/>
        <w:kinsoku/>
        <w:wordWrap w:val="0"/>
        <w:overflowPunct/>
        <w:topLinePunct w:val="0"/>
        <w:autoSpaceDE/>
        <w:autoSpaceDN/>
        <w:bidi w:val="0"/>
        <w:adjustRightInd/>
        <w:snapToGrid w:val="0"/>
        <w:spacing w:line="360" w:lineRule="auto"/>
        <w:ind w:firstLine="514" w:firstLineChars="200"/>
        <w:textAlignment w:val="auto"/>
        <w:rPr>
          <w:rFonts w:hint="eastAsia" w:ascii="仿宋" w:hAnsi="仿宋" w:eastAsia="仿宋" w:cs="仿宋"/>
          <w:b/>
          <w:bCs/>
          <w:color w:val="auto"/>
          <w:spacing w:val="8"/>
          <w:sz w:val="24"/>
          <w:szCs w:val="24"/>
          <w:highlight w:val="none"/>
        </w:rPr>
      </w:pPr>
      <w:r>
        <w:rPr>
          <w:rFonts w:hint="eastAsia" w:ascii="仿宋" w:hAnsi="仿宋" w:eastAsia="仿宋" w:cs="仿宋"/>
          <w:b/>
          <w:bCs/>
          <w:color w:val="auto"/>
          <w:spacing w:val="8"/>
          <w:sz w:val="24"/>
          <w:szCs w:val="24"/>
          <w:highlight w:val="none"/>
        </w:rPr>
        <w:t>二、交货规定</w:t>
      </w:r>
    </w:p>
    <w:p w14:paraId="2454EC50">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交货方法：</w:t>
      </w:r>
      <w:permStart w:id="5" w:edGrp="everyone"/>
      <w:r>
        <w:rPr>
          <w:rFonts w:hint="eastAsia" w:ascii="仿宋" w:hAnsi="仿宋" w:eastAsia="仿宋" w:cs="仿宋"/>
          <w:b w:val="0"/>
          <w:bCs w:val="0"/>
          <w:color w:val="auto"/>
          <w:sz w:val="24"/>
          <w:szCs w:val="24"/>
          <w:highlight w:val="none"/>
          <w:u w:val="single"/>
        </w:rPr>
        <w:t>由乙方送货到甲方指定工地现场</w:t>
      </w:r>
      <w:permEnd w:id="5"/>
    </w:p>
    <w:p w14:paraId="64D7003C">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u w:val="single"/>
        </w:rPr>
      </w:pPr>
      <w:r>
        <w:rPr>
          <w:rFonts w:hint="eastAsia" w:ascii="仿宋" w:hAnsi="仿宋" w:eastAsia="仿宋" w:cs="仿宋"/>
          <w:b w:val="0"/>
          <w:bCs w:val="0"/>
          <w:color w:val="auto"/>
          <w:sz w:val="24"/>
          <w:szCs w:val="24"/>
          <w:highlight w:val="none"/>
        </w:rPr>
        <w:t>2</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运输方式：</w:t>
      </w:r>
      <w:r>
        <w:rPr>
          <w:rFonts w:hint="eastAsia" w:ascii="仿宋" w:hAnsi="仿宋" w:eastAsia="仿宋" w:cs="仿宋"/>
          <w:color w:val="auto"/>
          <w:sz w:val="24"/>
          <w:szCs w:val="24"/>
          <w:highlight w:val="none"/>
        </w:rPr>
        <w:t>由</w:t>
      </w:r>
      <w:permStart w:id="6" w:edGrp="everyone"/>
      <w:r>
        <w:rPr>
          <w:rFonts w:hint="eastAsia" w:ascii="仿宋" w:hAnsi="仿宋" w:eastAsia="仿宋" w:cs="仿宋"/>
          <w:color w:val="auto"/>
          <w:sz w:val="24"/>
          <w:szCs w:val="24"/>
          <w:highlight w:val="none"/>
          <w:u w:val="single"/>
        </w:rPr>
        <w:t>乙方</w:t>
      </w:r>
      <w:permEnd w:id="6"/>
      <w:r>
        <w:rPr>
          <w:rFonts w:hint="eastAsia" w:ascii="仿宋" w:hAnsi="仿宋" w:eastAsia="仿宋" w:cs="仿宋"/>
          <w:color w:val="auto"/>
          <w:sz w:val="24"/>
          <w:szCs w:val="24"/>
          <w:highlight w:val="none"/>
        </w:rPr>
        <w:t>自行选择运输方式，运输及保</w:t>
      </w:r>
      <w:r>
        <w:rPr>
          <w:rFonts w:hint="eastAsia" w:ascii="仿宋" w:hAnsi="仿宋" w:eastAsia="仿宋" w:cs="仿宋"/>
          <w:color w:val="auto"/>
          <w:kern w:val="0"/>
          <w:sz w:val="24"/>
          <w:szCs w:val="24"/>
          <w:highlight w:val="none"/>
        </w:rPr>
        <w:t>险费用由</w:t>
      </w:r>
      <w:permStart w:id="7" w:edGrp="everyone"/>
      <w:r>
        <w:rPr>
          <w:rFonts w:hint="eastAsia" w:ascii="仿宋" w:hAnsi="仿宋" w:eastAsia="仿宋" w:cs="仿宋"/>
          <w:color w:val="auto"/>
          <w:kern w:val="0"/>
          <w:sz w:val="24"/>
          <w:szCs w:val="24"/>
          <w:highlight w:val="none"/>
          <w:u w:val="single"/>
          <w:lang w:val="en-US" w:eastAsia="zh-CN"/>
        </w:rPr>
        <w:t>乙</w:t>
      </w:r>
      <w:r>
        <w:rPr>
          <w:rFonts w:hint="eastAsia" w:ascii="仿宋" w:hAnsi="仿宋" w:eastAsia="仿宋" w:cs="仿宋"/>
          <w:color w:val="auto"/>
          <w:kern w:val="0"/>
          <w:sz w:val="24"/>
          <w:szCs w:val="24"/>
          <w:highlight w:val="none"/>
          <w:u w:val="single"/>
        </w:rPr>
        <w:t>方</w:t>
      </w:r>
      <w:permEnd w:id="7"/>
      <w:r>
        <w:rPr>
          <w:rFonts w:hint="eastAsia" w:ascii="仿宋" w:hAnsi="仿宋" w:eastAsia="仿宋" w:cs="仿宋"/>
          <w:color w:val="auto"/>
          <w:sz w:val="24"/>
          <w:szCs w:val="24"/>
          <w:highlight w:val="none"/>
        </w:rPr>
        <w:t>负担。货物</w:t>
      </w:r>
      <w:r>
        <w:rPr>
          <w:rFonts w:hint="eastAsia" w:ascii="仿宋" w:hAnsi="仿宋" w:eastAsia="仿宋" w:cs="仿宋"/>
          <w:color w:val="auto"/>
          <w:sz w:val="24"/>
          <w:szCs w:val="24"/>
          <w:highlight w:val="none"/>
          <w:lang w:eastAsia="zh-CN"/>
        </w:rPr>
        <w:t>经双方验收且检验报告结果为合格交付甲方前</w:t>
      </w:r>
      <w:r>
        <w:rPr>
          <w:rFonts w:hint="eastAsia" w:ascii="仿宋" w:hAnsi="仿宋" w:eastAsia="仿宋" w:cs="仿宋"/>
          <w:color w:val="auto"/>
          <w:sz w:val="24"/>
          <w:szCs w:val="24"/>
          <w:highlight w:val="none"/>
        </w:rPr>
        <w:t>，货物相关全部风险由乙方承担。</w:t>
      </w:r>
    </w:p>
    <w:p w14:paraId="24571BA9">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交货地点：</w:t>
      </w:r>
      <w:r>
        <w:rPr>
          <w:rFonts w:hint="eastAsia" w:ascii="仿宋" w:hAnsi="仿宋" w:eastAsia="仿宋" w:cs="仿宋"/>
          <w:color w:val="auto"/>
          <w:sz w:val="24"/>
          <w:szCs w:val="24"/>
          <w:highlight w:val="none"/>
          <w:u w:val="single"/>
          <w:lang w:val="en-US" w:eastAsia="zh-CN"/>
        </w:rPr>
        <w:t>画堂春锦二期交付现场</w:t>
      </w:r>
      <w:r>
        <w:rPr>
          <w:rFonts w:hint="eastAsia" w:ascii="仿宋" w:hAnsi="仿宋" w:eastAsia="仿宋" w:cs="仿宋"/>
          <w:color w:val="auto"/>
          <w:sz w:val="24"/>
          <w:szCs w:val="24"/>
          <w:highlight w:val="none"/>
          <w:lang w:val="en-US" w:eastAsia="zh-CN"/>
        </w:rPr>
        <w:t>施工现场，</w:t>
      </w:r>
      <w:r>
        <w:rPr>
          <w:rFonts w:hint="eastAsia" w:ascii="仿宋" w:hAnsi="仿宋" w:eastAsia="仿宋" w:cs="仿宋"/>
          <w:color w:val="auto"/>
          <w:sz w:val="24"/>
          <w:szCs w:val="24"/>
          <w:highlight w:val="none"/>
        </w:rPr>
        <w:t>甲方指定</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lang w:val="en-US" w:eastAsia="zh-CN"/>
        </w:rPr>
        <w:t>。</w:t>
      </w:r>
    </w:p>
    <w:p w14:paraId="2E86E571">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交货日期：</w:t>
      </w:r>
      <w:r>
        <w:rPr>
          <w:rFonts w:hint="eastAsia" w:ascii="仿宋" w:hAnsi="仿宋" w:eastAsia="仿宋" w:cs="仿宋"/>
          <w:color w:val="auto"/>
          <w:sz w:val="24"/>
          <w:szCs w:val="24"/>
          <w:highlight w:val="none"/>
        </w:rPr>
        <w:t>乙方应在合同签订</w:t>
      </w:r>
      <w:r>
        <w:rPr>
          <w:rFonts w:hint="eastAsia" w:ascii="仿宋" w:hAnsi="仿宋" w:eastAsia="仿宋" w:cs="仿宋"/>
          <w:color w:val="auto"/>
          <w:kern w:val="0"/>
          <w:sz w:val="24"/>
          <w:szCs w:val="24"/>
          <w:highlight w:val="none"/>
          <w:shd w:val="clear"/>
        </w:rPr>
        <w:t>后</w:t>
      </w:r>
      <w:permStart w:id="8" w:edGrp="everyone"/>
      <w:r>
        <w:rPr>
          <w:rFonts w:hint="eastAsia" w:ascii="仿宋" w:hAnsi="仿宋" w:eastAsia="仿宋" w:cs="仿宋"/>
          <w:color w:val="auto"/>
          <w:kern w:val="0"/>
          <w:sz w:val="24"/>
          <w:szCs w:val="24"/>
          <w:highlight w:val="none"/>
          <w:shd w:val="clear"/>
          <w:lang w:val="en-US" w:eastAsia="zh-CN"/>
        </w:rPr>
        <w:t>7</w:t>
      </w:r>
      <w:permEnd w:id="8"/>
      <w:r>
        <w:rPr>
          <w:rFonts w:hint="eastAsia" w:ascii="仿宋" w:hAnsi="仿宋" w:eastAsia="仿宋" w:cs="仿宋"/>
          <w:color w:val="auto"/>
          <w:sz w:val="24"/>
          <w:szCs w:val="24"/>
          <w:highlight w:val="none"/>
          <w:shd w:val="clear"/>
        </w:rPr>
        <w:t>天内（或在</w:t>
      </w:r>
      <w:permStart w:id="9" w:edGrp="everyone"/>
      <w:r>
        <w:rPr>
          <w:rFonts w:hint="eastAsia" w:ascii="仿宋" w:hAnsi="仿宋" w:eastAsia="仿宋" w:cs="仿宋"/>
          <w:color w:val="auto"/>
          <w:kern w:val="0"/>
          <w:sz w:val="24"/>
          <w:szCs w:val="24"/>
          <w:highlight w:val="none"/>
          <w:shd w:val="clear"/>
          <w:lang w:val="en-US" w:eastAsia="zh-CN"/>
        </w:rPr>
        <w:t>/</w:t>
      </w:r>
      <w:permEnd w:id="9"/>
      <w:r>
        <w:rPr>
          <w:rFonts w:hint="eastAsia" w:ascii="仿宋" w:hAnsi="仿宋" w:eastAsia="仿宋" w:cs="仿宋"/>
          <w:color w:val="auto"/>
          <w:sz w:val="24"/>
          <w:szCs w:val="24"/>
          <w:highlight w:val="none"/>
          <w:shd w:val="clear"/>
        </w:rPr>
        <w:t>年</w:t>
      </w:r>
      <w:permStart w:id="10" w:edGrp="everyone"/>
      <w:r>
        <w:rPr>
          <w:rFonts w:hint="eastAsia" w:ascii="仿宋" w:hAnsi="仿宋" w:eastAsia="仿宋" w:cs="仿宋"/>
          <w:color w:val="auto"/>
          <w:kern w:val="0"/>
          <w:sz w:val="24"/>
          <w:szCs w:val="24"/>
          <w:highlight w:val="none"/>
          <w:shd w:val="clear"/>
          <w:lang w:val="en-US" w:eastAsia="zh-CN"/>
        </w:rPr>
        <w:t>/</w:t>
      </w:r>
      <w:permEnd w:id="10"/>
      <w:r>
        <w:rPr>
          <w:rFonts w:hint="eastAsia" w:ascii="仿宋" w:hAnsi="仿宋" w:eastAsia="仿宋" w:cs="仿宋"/>
          <w:color w:val="auto"/>
          <w:sz w:val="24"/>
          <w:szCs w:val="24"/>
          <w:highlight w:val="none"/>
          <w:shd w:val="clear"/>
        </w:rPr>
        <w:t>月</w:t>
      </w:r>
      <w:permStart w:id="11" w:edGrp="everyone"/>
      <w:r>
        <w:rPr>
          <w:rFonts w:hint="eastAsia" w:ascii="仿宋" w:hAnsi="仿宋" w:eastAsia="仿宋" w:cs="仿宋"/>
          <w:color w:val="auto"/>
          <w:kern w:val="0"/>
          <w:sz w:val="24"/>
          <w:szCs w:val="24"/>
          <w:highlight w:val="none"/>
          <w:shd w:val="clear"/>
          <w:lang w:val="en-US" w:eastAsia="zh-CN"/>
        </w:rPr>
        <w:t>/</w:t>
      </w:r>
      <w:permEnd w:id="11"/>
      <w:r>
        <w:rPr>
          <w:rFonts w:hint="eastAsia" w:ascii="仿宋" w:hAnsi="仿宋" w:eastAsia="仿宋" w:cs="仿宋"/>
          <w:color w:val="auto"/>
          <w:sz w:val="24"/>
          <w:szCs w:val="24"/>
          <w:highlight w:val="none"/>
          <w:shd w:val="clear"/>
        </w:rPr>
        <w:t>日</w:t>
      </w:r>
      <w:r>
        <w:rPr>
          <w:rFonts w:hint="eastAsia" w:ascii="仿宋" w:hAnsi="仿宋" w:eastAsia="仿宋" w:cs="仿宋"/>
          <w:color w:val="auto"/>
          <w:sz w:val="24"/>
          <w:szCs w:val="24"/>
          <w:highlight w:val="none"/>
          <w:shd w:val="clear"/>
          <w:lang w:eastAsia="zh-CN"/>
        </w:rPr>
        <w:t>前</w:t>
      </w:r>
      <w:r>
        <w:rPr>
          <w:rFonts w:hint="eastAsia" w:ascii="仿宋" w:hAnsi="仿宋" w:eastAsia="仿宋" w:cs="仿宋"/>
          <w:color w:val="auto"/>
          <w:sz w:val="24"/>
          <w:szCs w:val="24"/>
          <w:highlight w:val="none"/>
        </w:rPr>
        <w:t>）完成交货，并附上双方约定的、记录货物相关事项的资料</w:t>
      </w:r>
      <w:r>
        <w:rPr>
          <w:rFonts w:hint="eastAsia" w:ascii="仿宋" w:hAnsi="仿宋" w:eastAsia="仿宋" w:cs="仿宋"/>
          <w:color w:val="auto"/>
          <w:sz w:val="24"/>
          <w:szCs w:val="24"/>
          <w:highlight w:val="none"/>
          <w:lang w:eastAsia="zh-CN"/>
        </w:rPr>
        <w:t>，</w:t>
      </w:r>
      <w:r>
        <w:rPr>
          <w:rFonts w:hint="eastAsia" w:ascii="仿宋" w:hAnsi="仿宋" w:eastAsia="仿宋" w:cs="仿宋"/>
          <w:sz w:val="24"/>
          <w:szCs w:val="24"/>
          <w:highlight w:val="none"/>
          <w:lang w:val="en-US" w:eastAsia="zh-CN"/>
        </w:rPr>
        <w:t>具体交货日期以甲方通知为准。</w:t>
      </w:r>
    </w:p>
    <w:p w14:paraId="5295EF7F">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当乙方不能按时交付全部或部分的货物，或者存在这种可能性时，乙方应及时将原因及预定交货日期通知给甲方，并按照甲方的指示迅速制定必要的对策。</w:t>
      </w:r>
    </w:p>
    <w:p w14:paraId="0B7F8360">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三、验收方法</w:t>
      </w:r>
    </w:p>
    <w:p w14:paraId="2648B0D6">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所有货物由乙方送到交货地点且甲方确认收货后</w:t>
      </w:r>
      <w:permStart w:id="12" w:edGrp="everyone"/>
      <w:r>
        <w:rPr>
          <w:rFonts w:hint="eastAsia" w:ascii="仿宋" w:hAnsi="仿宋" w:eastAsia="仿宋" w:cs="仿宋"/>
          <w:sz w:val="24"/>
          <w:szCs w:val="24"/>
          <w:highlight w:val="none"/>
          <w:lang w:val="en-US" w:eastAsia="zh-CN"/>
        </w:rPr>
        <w:t>3</w:t>
      </w:r>
      <w:permEnd w:id="12"/>
      <w:r>
        <w:rPr>
          <w:rFonts w:hint="eastAsia" w:ascii="仿宋" w:hAnsi="仿宋" w:eastAsia="仿宋" w:cs="仿宋"/>
          <w:kern w:val="0"/>
          <w:sz w:val="24"/>
          <w:szCs w:val="24"/>
          <w:highlight w:val="none"/>
        </w:rPr>
        <w:t>天内，</w:t>
      </w:r>
      <w:r>
        <w:rPr>
          <w:rFonts w:hint="eastAsia" w:ascii="仿宋" w:hAnsi="仿宋" w:eastAsia="仿宋" w:cs="仿宋"/>
          <w:sz w:val="24"/>
          <w:szCs w:val="24"/>
          <w:highlight w:val="none"/>
        </w:rPr>
        <w:t>由甲乙双方共同对货物的包装、外观、数量、商标、型号、规格及</w:t>
      </w:r>
      <w:r>
        <w:rPr>
          <w:rFonts w:hint="eastAsia" w:ascii="仿宋" w:hAnsi="仿宋" w:eastAsia="仿宋" w:cs="仿宋"/>
          <w:sz w:val="24"/>
          <w:szCs w:val="24"/>
          <w:highlight w:val="none"/>
          <w:lang w:eastAsia="zh-CN"/>
        </w:rPr>
        <w:t>质量</w:t>
      </w:r>
      <w:r>
        <w:rPr>
          <w:rFonts w:hint="eastAsia" w:ascii="仿宋" w:hAnsi="仿宋" w:eastAsia="仿宋" w:cs="仿宋"/>
          <w:sz w:val="24"/>
          <w:szCs w:val="24"/>
          <w:highlight w:val="none"/>
        </w:rPr>
        <w:t>性能等进行验收，签署检验报告。如乙方未按约定到甲方指定地点参加检验的，应视为乙方对甲方单方检验的结果予以确认。验收标准执行合同规定的货物质量标准。</w:t>
      </w:r>
    </w:p>
    <w:p w14:paraId="4D4601E0">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如发现乙方所交的货物有任何不符合合同规定之处，应做好记录，并由双方代表签字，作为甲方向乙方提出维修或退换货的依据。</w:t>
      </w:r>
    </w:p>
    <w:p w14:paraId="22ACA6BE">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检验报告仅证明乙方所提供的货物截至出具检验报告之日时可以按合同要求予以接受，但不能视为乙方对货物存在的潜在缺陷所应负责任的解除。此检验不作为对货物内在质量认定的依据。</w:t>
      </w:r>
    </w:p>
    <w:p w14:paraId="21BA0E84">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b/>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乙方所提供的货物应充分满足甲方使用的要求，确保货物的尺寸、规格、质量符合合同规定，甲方发出的询价函与乙方发出的报价书中规定的内容与合同具有同等的约束力。</w:t>
      </w:r>
      <w:r>
        <w:rPr>
          <w:rFonts w:hint="eastAsia" w:ascii="仿宋" w:hAnsi="仿宋" w:eastAsia="仿宋" w:cs="仿宋"/>
          <w:b/>
          <w:sz w:val="24"/>
          <w:szCs w:val="24"/>
          <w:highlight w:val="none"/>
        </w:rPr>
        <w:t>本合同内乙方所供货物及安装质量保证期至少为</w:t>
      </w:r>
      <w:permStart w:id="13" w:edGrp="everyone"/>
      <w:r>
        <w:rPr>
          <w:rFonts w:hint="eastAsia" w:ascii="仿宋" w:hAnsi="仿宋" w:eastAsia="仿宋" w:cs="仿宋"/>
          <w:b/>
          <w:sz w:val="24"/>
          <w:szCs w:val="24"/>
          <w:highlight w:val="none"/>
          <w:u w:val="single"/>
          <w:lang w:val="en-US" w:eastAsia="zh-CN"/>
        </w:rPr>
        <w:t>24</w:t>
      </w:r>
      <w:permEnd w:id="13"/>
      <w:r>
        <w:rPr>
          <w:rFonts w:hint="eastAsia" w:ascii="仿宋" w:hAnsi="仿宋" w:eastAsia="仿宋" w:cs="仿宋"/>
          <w:b/>
          <w:sz w:val="24"/>
          <w:szCs w:val="24"/>
          <w:highlight w:val="none"/>
          <w:lang w:val="en-US" w:eastAsia="zh-CN"/>
        </w:rPr>
        <w:t>月</w:t>
      </w:r>
      <w:r>
        <w:rPr>
          <w:rFonts w:hint="eastAsia" w:ascii="仿宋" w:hAnsi="仿宋" w:eastAsia="仿宋" w:cs="仿宋"/>
          <w:b/>
          <w:sz w:val="24"/>
          <w:szCs w:val="24"/>
          <w:highlight w:val="none"/>
        </w:rPr>
        <w:t>且须满足设计及建设方要求，自甲方等验收合格之日起计算。质量保证期间如货物及安装出现质量问题，甲方有权要求乙方免费维修或退换货。乙方应在接到甲方通知后</w:t>
      </w:r>
      <w:permStart w:id="14" w:edGrp="everyone"/>
      <w:r>
        <w:rPr>
          <w:rFonts w:hint="eastAsia" w:ascii="仿宋" w:hAnsi="仿宋" w:eastAsia="仿宋" w:cs="仿宋"/>
          <w:b/>
          <w:sz w:val="24"/>
          <w:szCs w:val="24"/>
          <w:highlight w:val="none"/>
          <w:u w:val="single"/>
          <w:lang w:val="en-US" w:eastAsia="zh-CN"/>
        </w:rPr>
        <w:t>3</w:t>
      </w:r>
      <w:permEnd w:id="14"/>
      <w:r>
        <w:rPr>
          <w:rFonts w:hint="eastAsia" w:ascii="仿宋" w:hAnsi="仿宋" w:eastAsia="仿宋" w:cs="仿宋"/>
          <w:b/>
          <w:sz w:val="24"/>
          <w:szCs w:val="24"/>
          <w:highlight w:val="none"/>
        </w:rPr>
        <w:t>天内免费派人维修、退换符合质量要求的货物，退换货产生的所有费用由乙方承担。</w:t>
      </w:r>
    </w:p>
    <w:p w14:paraId="4E634ADC">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rPr>
        <w:t>四、</w:t>
      </w:r>
      <w:r>
        <w:rPr>
          <w:rFonts w:hint="eastAsia" w:ascii="仿宋" w:hAnsi="仿宋" w:eastAsia="仿宋" w:cs="仿宋"/>
          <w:b/>
          <w:bCs/>
          <w:sz w:val="24"/>
          <w:szCs w:val="24"/>
          <w:highlight w:val="none"/>
          <w:lang w:eastAsia="zh-CN"/>
        </w:rPr>
        <w:t>货款</w:t>
      </w:r>
      <w:r>
        <w:rPr>
          <w:rFonts w:hint="eastAsia" w:ascii="仿宋" w:hAnsi="仿宋" w:eastAsia="仿宋" w:cs="仿宋"/>
          <w:b/>
          <w:bCs/>
          <w:sz w:val="24"/>
          <w:szCs w:val="24"/>
          <w:highlight w:val="none"/>
        </w:rPr>
        <w:t>支付</w:t>
      </w:r>
      <w:r>
        <w:rPr>
          <w:rFonts w:hint="eastAsia" w:ascii="仿宋" w:hAnsi="仿宋" w:eastAsia="仿宋" w:cs="仿宋"/>
          <w:b/>
          <w:bCs/>
          <w:sz w:val="24"/>
          <w:szCs w:val="24"/>
          <w:highlight w:val="none"/>
          <w:lang w:eastAsia="zh-CN"/>
        </w:rPr>
        <w:t>与发票提供</w:t>
      </w:r>
    </w:p>
    <w:p w14:paraId="4D6640A4">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合同金额：本合同不含税金额为￥：</w:t>
      </w:r>
      <w:r>
        <w:rPr>
          <w:rFonts w:hint="eastAsia" w:ascii="仿宋" w:hAnsi="仿宋" w:eastAsia="仿宋" w:cs="仿宋"/>
          <w:color w:val="auto"/>
          <w:sz w:val="24"/>
          <w:szCs w:val="24"/>
          <w:highlight w:val="none"/>
          <w:u w:val="single"/>
          <w:lang w:val="en-US" w:eastAsia="zh-CN"/>
        </w:rPr>
        <w:t>12319.5</w:t>
      </w:r>
      <w:r>
        <w:rPr>
          <w:rFonts w:hint="eastAsia" w:ascii="仿宋" w:hAnsi="仿宋" w:eastAsia="仿宋" w:cs="仿宋"/>
          <w:color w:val="auto"/>
          <w:sz w:val="24"/>
          <w:szCs w:val="24"/>
          <w:highlight w:val="none"/>
        </w:rPr>
        <w:t>元（大写：</w:t>
      </w:r>
      <w:r>
        <w:rPr>
          <w:rFonts w:hint="eastAsia" w:ascii="仿宋" w:hAnsi="仿宋" w:eastAsia="仿宋" w:cs="仿宋"/>
          <w:color w:val="auto"/>
          <w:sz w:val="24"/>
          <w:szCs w:val="24"/>
          <w:highlight w:val="none"/>
          <w:u w:val="single"/>
          <w:lang w:val="en-US" w:eastAsia="zh-CN"/>
        </w:rPr>
        <w:t>壹万贰仟叁佰壹拾玖元伍角</w:t>
      </w:r>
      <w:r>
        <w:rPr>
          <w:rFonts w:hint="eastAsia" w:ascii="仿宋" w:hAnsi="仿宋" w:eastAsia="仿宋" w:cs="仿宋"/>
          <w:color w:val="auto"/>
          <w:sz w:val="24"/>
          <w:szCs w:val="24"/>
          <w:highlight w:val="none"/>
        </w:rPr>
        <w:t>），增值税金额为￥：</w:t>
      </w:r>
      <w:r>
        <w:rPr>
          <w:rFonts w:hint="eastAsia" w:ascii="仿宋" w:hAnsi="仿宋" w:eastAsia="仿宋" w:cs="仿宋"/>
          <w:color w:val="auto"/>
          <w:sz w:val="24"/>
          <w:szCs w:val="24"/>
          <w:highlight w:val="none"/>
          <w:u w:val="single"/>
          <w:lang w:val="en-US" w:eastAsia="zh-CN"/>
        </w:rPr>
        <w:t>123.2</w:t>
      </w:r>
      <w:r>
        <w:rPr>
          <w:rFonts w:hint="eastAsia" w:ascii="仿宋" w:hAnsi="仿宋" w:eastAsia="仿宋" w:cs="仿宋"/>
          <w:color w:val="auto"/>
          <w:sz w:val="24"/>
          <w:szCs w:val="24"/>
          <w:highlight w:val="none"/>
        </w:rPr>
        <w:t>元（大写：</w:t>
      </w:r>
      <w:r>
        <w:rPr>
          <w:rFonts w:hint="eastAsia" w:ascii="仿宋" w:hAnsi="仿宋" w:eastAsia="仿宋" w:cs="仿宋"/>
          <w:color w:val="auto"/>
          <w:sz w:val="24"/>
          <w:szCs w:val="24"/>
          <w:highlight w:val="none"/>
          <w:u w:val="single"/>
          <w:lang w:val="en-US" w:eastAsia="zh-CN"/>
        </w:rPr>
        <w:t>壹佰贰拾叁元贰角</w:t>
      </w:r>
      <w:r>
        <w:rPr>
          <w:rFonts w:hint="eastAsia" w:ascii="仿宋" w:hAnsi="仿宋" w:eastAsia="仿宋" w:cs="仿宋"/>
          <w:color w:val="auto"/>
          <w:sz w:val="24"/>
          <w:szCs w:val="24"/>
          <w:highlight w:val="none"/>
        </w:rPr>
        <w:t>），价税合计总价为￥：</w:t>
      </w:r>
      <w:r>
        <w:rPr>
          <w:rFonts w:hint="eastAsia" w:ascii="仿宋" w:hAnsi="仿宋" w:eastAsia="仿宋" w:cs="仿宋"/>
          <w:color w:val="auto"/>
          <w:sz w:val="24"/>
          <w:szCs w:val="24"/>
          <w:highlight w:val="none"/>
          <w:u w:val="single"/>
          <w:lang w:val="en-US" w:eastAsia="zh-CN"/>
        </w:rPr>
        <w:t>12442.7</w:t>
      </w:r>
      <w:r>
        <w:rPr>
          <w:rFonts w:hint="eastAsia" w:ascii="仿宋" w:hAnsi="仿宋" w:eastAsia="仿宋" w:cs="仿宋"/>
          <w:color w:val="auto"/>
          <w:sz w:val="24"/>
          <w:szCs w:val="24"/>
          <w:highlight w:val="none"/>
        </w:rPr>
        <w:t>元（大写：</w:t>
      </w:r>
      <w:r>
        <w:rPr>
          <w:rFonts w:hint="eastAsia" w:ascii="仿宋" w:hAnsi="仿宋" w:eastAsia="仿宋" w:cs="仿宋"/>
          <w:color w:val="auto"/>
          <w:sz w:val="24"/>
          <w:szCs w:val="24"/>
          <w:highlight w:val="none"/>
          <w:u w:val="single"/>
          <w:lang w:val="en-US" w:eastAsia="zh-CN"/>
        </w:rPr>
        <w:t>壹万贰仟肆佰肆拾贰元柒角</w:t>
      </w:r>
      <w:r>
        <w:rPr>
          <w:rFonts w:hint="eastAsia" w:ascii="仿宋" w:hAnsi="仿宋" w:eastAsia="仿宋" w:cs="仿宋"/>
          <w:color w:val="auto"/>
          <w:sz w:val="24"/>
          <w:szCs w:val="24"/>
          <w:highlight w:val="none"/>
        </w:rPr>
        <w:t>）。</w:t>
      </w:r>
    </w:p>
    <w:p w14:paraId="434623B0">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合同金额</w:t>
      </w:r>
      <w:r>
        <w:rPr>
          <w:rFonts w:hint="eastAsia" w:ascii="仿宋" w:hAnsi="仿宋" w:eastAsia="仿宋" w:cs="仿宋"/>
          <w:color w:val="auto"/>
          <w:sz w:val="24"/>
          <w:szCs w:val="24"/>
          <w:highlight w:val="none"/>
        </w:rPr>
        <w:t>指本合同双方约定的交货及安装价格，该价格应包含货物价格、安装费、通关费、包装费、物流费、装卸费、保险费、在甲方指定场所的安装调试费、必要的培训费以及税费等一切费用。在乙方完全履行本合同下全部义务的情形下，除非另有书面约定，否则合同金额是甲方应当向乙方支付的全部费用。</w:t>
      </w:r>
    </w:p>
    <w:p w14:paraId="536BA779">
      <w:pPr>
        <w:pStyle w:val="5"/>
        <w:keepNext w:val="0"/>
        <w:keepLines w:val="0"/>
        <w:pageBreakBefore w:val="0"/>
        <w:widowControl w:val="0"/>
        <w:numPr>
          <w:ilvl w:val="0"/>
          <w:numId w:val="1"/>
        </w:numPr>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价款支付方式：</w:t>
      </w:r>
      <w:permStart w:id="15" w:edGrp="everyone"/>
      <w:r>
        <w:rPr>
          <w:rFonts w:hint="eastAsia" w:ascii="仿宋" w:hAnsi="仿宋" w:eastAsia="仿宋" w:cs="仿宋"/>
          <w:color w:val="auto"/>
          <w:sz w:val="24"/>
          <w:szCs w:val="24"/>
          <w:highlight w:val="none"/>
        </w:rPr>
        <w:t>乙方全部货到甲方指定工地现场，经甲方等验收合格及乙方完成安装并经甲方等验收合格后【10】日内支付合同总价【100】%货款</w:t>
      </w:r>
      <w:permEnd w:id="15"/>
      <w:r>
        <w:rPr>
          <w:rFonts w:hint="eastAsia" w:ascii="仿宋" w:hAnsi="仿宋" w:eastAsia="仿宋" w:cs="仿宋"/>
          <w:color w:val="auto"/>
          <w:sz w:val="24"/>
          <w:szCs w:val="24"/>
          <w:highlight w:val="none"/>
        </w:rPr>
        <w:t>。</w:t>
      </w:r>
    </w:p>
    <w:p w14:paraId="46F06FD4">
      <w:pPr>
        <w:pStyle w:val="5"/>
        <w:keepNext w:val="0"/>
        <w:keepLines w:val="0"/>
        <w:pageBreakBefore w:val="0"/>
        <w:widowControl w:val="0"/>
        <w:numPr>
          <w:ilvl w:val="0"/>
          <w:numId w:val="1"/>
        </w:numPr>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质保金（或尾款）：本合同质保金为合同总价的【</w:t>
      </w:r>
      <w:permStart w:id="16" w:edGrp="everyone"/>
      <w:r>
        <w:rPr>
          <w:rFonts w:hint="eastAsia" w:ascii="仿宋" w:hAnsi="仿宋" w:eastAsia="仿宋" w:cs="仿宋"/>
          <w:color w:val="auto"/>
          <w:sz w:val="24"/>
          <w:szCs w:val="24"/>
          <w:highlight w:val="none"/>
          <w:u w:val="single"/>
        </w:rPr>
        <w:t>/</w:t>
      </w:r>
      <w:permEnd w:id="16"/>
      <w:r>
        <w:rPr>
          <w:rFonts w:hint="eastAsia" w:ascii="仿宋" w:hAnsi="仿宋" w:eastAsia="仿宋" w:cs="仿宋"/>
          <w:color w:val="auto"/>
          <w:sz w:val="24"/>
          <w:szCs w:val="24"/>
          <w:highlight w:val="none"/>
        </w:rPr>
        <w:t>】%，计</w:t>
      </w:r>
      <w:permStart w:id="17" w:edGrp="everyone"/>
      <w:r>
        <w:rPr>
          <w:rFonts w:hint="eastAsia" w:ascii="仿宋" w:hAnsi="仿宋" w:eastAsia="仿宋" w:cs="仿宋"/>
          <w:color w:val="auto"/>
          <w:sz w:val="24"/>
          <w:szCs w:val="24"/>
          <w:highlight w:val="none"/>
          <w:u w:val="single"/>
        </w:rPr>
        <w:t>/</w:t>
      </w:r>
      <w:permEnd w:id="17"/>
      <w:r>
        <w:rPr>
          <w:rFonts w:hint="eastAsia" w:ascii="仿宋" w:hAnsi="仿宋" w:eastAsia="仿宋" w:cs="仿宋"/>
          <w:color w:val="auto"/>
          <w:sz w:val="24"/>
          <w:szCs w:val="24"/>
          <w:highlight w:val="none"/>
        </w:rPr>
        <w:t>元（大写：</w:t>
      </w:r>
      <w:permStart w:id="18" w:edGrp="everyone"/>
      <w:r>
        <w:rPr>
          <w:rFonts w:hint="eastAsia" w:ascii="仿宋" w:hAnsi="仿宋" w:eastAsia="仿宋" w:cs="仿宋"/>
          <w:color w:val="auto"/>
          <w:sz w:val="24"/>
          <w:szCs w:val="24"/>
          <w:highlight w:val="none"/>
          <w:u w:val="single"/>
        </w:rPr>
        <w:t>/元整</w:t>
      </w:r>
      <w:permEnd w:id="18"/>
      <w:r>
        <w:rPr>
          <w:rFonts w:hint="eastAsia" w:ascii="仿宋" w:hAnsi="仿宋" w:eastAsia="仿宋" w:cs="仿宋"/>
          <w:color w:val="auto"/>
          <w:sz w:val="24"/>
          <w:szCs w:val="24"/>
          <w:highlight w:val="none"/>
        </w:rPr>
        <w:t>）。在乙方完成所供货物的维修和退换货等义务，完成质量保证期届满前甲方提出的索赔和赔偿，质量保证期结束后，甲方支付合同质保金（或尾款），否则，甲方有权拒绝支付质保金（尾款）。</w:t>
      </w:r>
    </w:p>
    <w:p w14:paraId="30C38233">
      <w:pPr>
        <w:pStyle w:val="5"/>
        <w:keepNext w:val="0"/>
        <w:keepLines w:val="0"/>
        <w:pageBreakBefore w:val="0"/>
        <w:widowControl w:val="0"/>
        <w:numPr>
          <w:ilvl w:val="0"/>
          <w:numId w:val="1"/>
        </w:numPr>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乙方应在甲方支付工程款</w:t>
      </w:r>
      <w:permStart w:id="19" w:edGrp="everyone"/>
      <w:r>
        <w:rPr>
          <w:rFonts w:hint="eastAsia" w:ascii="仿宋" w:hAnsi="仿宋" w:eastAsia="仿宋" w:cs="仿宋"/>
          <w:color w:val="auto"/>
          <w:sz w:val="24"/>
          <w:szCs w:val="24"/>
          <w:highlight w:val="none"/>
          <w:u w:val="single"/>
          <w:lang w:val="en-US" w:eastAsia="zh-CN"/>
        </w:rPr>
        <w:t>5</w:t>
      </w:r>
      <w:permEnd w:id="19"/>
      <w:r>
        <w:rPr>
          <w:rFonts w:hint="eastAsia" w:ascii="仿宋" w:hAnsi="仿宋" w:eastAsia="仿宋" w:cs="仿宋"/>
          <w:color w:val="auto"/>
          <w:sz w:val="24"/>
          <w:szCs w:val="24"/>
          <w:highlight w:val="none"/>
        </w:rPr>
        <w:t>日前交付甲方正规增值税</w:t>
      </w:r>
      <w:permStart w:id="20" w:edGrp="everyone"/>
      <w:r>
        <w:rPr>
          <w:rFonts w:hint="eastAsia" w:ascii="仿宋" w:hAnsi="仿宋" w:eastAsia="仿宋" w:cs="仿宋"/>
          <w:color w:val="auto"/>
          <w:sz w:val="24"/>
          <w:szCs w:val="24"/>
          <w:highlight w:val="none"/>
          <w:u w:val="single"/>
        </w:rPr>
        <w:t>专用</w:t>
      </w:r>
      <w:permEnd w:id="20"/>
      <w:r>
        <w:rPr>
          <w:rFonts w:hint="eastAsia" w:ascii="仿宋" w:hAnsi="仿宋" w:eastAsia="仿宋" w:cs="仿宋"/>
          <w:color w:val="auto"/>
          <w:sz w:val="24"/>
          <w:szCs w:val="24"/>
          <w:highlight w:val="none"/>
        </w:rPr>
        <w:t>发票，税率</w:t>
      </w:r>
      <w:r>
        <w:rPr>
          <w:rFonts w:hint="eastAsia" w:ascii="仿宋" w:hAnsi="仿宋" w:eastAsia="仿宋" w:cs="仿宋"/>
          <w:color w:val="auto"/>
          <w:sz w:val="24"/>
          <w:szCs w:val="24"/>
          <w:highlight w:val="none"/>
          <w:u w:val="single"/>
          <w:lang w:val="en-US" w:eastAsia="zh-CN"/>
        </w:rPr>
        <w:t>1</w:t>
      </w:r>
      <w:r>
        <w:rPr>
          <w:rFonts w:hint="eastAsia" w:ascii="仿宋" w:hAnsi="仿宋" w:eastAsia="仿宋" w:cs="仿宋"/>
          <w:color w:val="auto"/>
          <w:sz w:val="24"/>
          <w:szCs w:val="24"/>
          <w:highlight w:val="none"/>
        </w:rPr>
        <w:t>%。否则，乙方逾期提供的，甲方可以相应顺延付款期限。</w:t>
      </w:r>
    </w:p>
    <w:p w14:paraId="302A0CB9">
      <w:pPr>
        <w:pStyle w:val="5"/>
        <w:keepNext w:val="0"/>
        <w:keepLines w:val="0"/>
        <w:pageBreakBefore w:val="0"/>
        <w:widowControl w:val="0"/>
        <w:numPr>
          <w:ilvl w:val="0"/>
          <w:numId w:val="1"/>
        </w:numPr>
        <w:kinsoku/>
        <w:wordWrap w:val="0"/>
        <w:overflowPunct/>
        <w:topLinePunct w:val="0"/>
        <w:autoSpaceDE/>
        <w:autoSpaceDN/>
        <w:bidi w:val="0"/>
        <w:adjustRightInd/>
        <w:snapToGrid w:val="0"/>
        <w:spacing w:line="360" w:lineRule="auto"/>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乙方的开户银行、账户名称、银行账号以本合同提供的为准。</w:t>
      </w:r>
      <w:r>
        <w:rPr>
          <w:rFonts w:hint="eastAsia" w:ascii="仿宋" w:hAnsi="仿宋" w:eastAsia="仿宋" w:cs="仿宋"/>
          <w:color w:val="auto"/>
          <w:sz w:val="24"/>
          <w:szCs w:val="24"/>
          <w:highlight w:val="none"/>
        </w:rPr>
        <w:t>如有变更，乙方应在合同规定的相关付款期限十天之前以书面方式通知甲方并加盖财务专用章。如未正确依照上述规定执行而影响相关款项的支付，则由此产生的责任由乙方自负。</w:t>
      </w:r>
    </w:p>
    <w:p w14:paraId="79BB3C20">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五、权利侵害的防止</w:t>
      </w:r>
    </w:p>
    <w:p w14:paraId="10E4B12F">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乙方保证，交付的商品不存在任何违反相关的法律法规、政府指令或政策等或侵犯了第三者的合法权利（包括但不限于知识产权）的情况。</w:t>
      </w:r>
    </w:p>
    <w:p w14:paraId="481601FD">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如存在上述情况，乙方必须事前通知甲方，并应负责解决由此而产生的侵权纠纷。</w:t>
      </w:r>
      <w:r>
        <w:rPr>
          <w:rFonts w:hint="eastAsia" w:ascii="仿宋" w:hAnsi="仿宋" w:eastAsia="仿宋" w:cs="仿宋"/>
          <w:color w:val="000000" w:themeColor="text1"/>
          <w:sz w:val="24"/>
          <w:szCs w:val="24"/>
          <w:highlight w:val="none"/>
          <w14:textFill>
            <w14:solidFill>
              <w14:schemeClr w14:val="tx1"/>
            </w14:solidFill>
          </w14:textFill>
        </w:rPr>
        <w:t>由此产生的费用由乙方自行承担，包括但不限于诉讼费、律师费、保全费、送达费、交通费、差旅费、鉴定费等。</w:t>
      </w:r>
    </w:p>
    <w:p w14:paraId="403DC7B4">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乙方违反本条第1款的保证，而与第三方产生纠纷时，应对由此而引起的纠纷承担所有的法律责任，并承担</w:t>
      </w:r>
      <w:r>
        <w:rPr>
          <w:rFonts w:hint="eastAsia" w:ascii="仿宋" w:hAnsi="仿宋" w:eastAsia="仿宋" w:cs="仿宋"/>
          <w:sz w:val="24"/>
          <w:szCs w:val="24"/>
          <w:highlight w:val="none"/>
          <w:lang w:eastAsia="zh-CN"/>
        </w:rPr>
        <w:t>给</w:t>
      </w:r>
      <w:r>
        <w:rPr>
          <w:rFonts w:hint="eastAsia" w:ascii="仿宋" w:hAnsi="仿宋" w:eastAsia="仿宋" w:cs="仿宋"/>
          <w:sz w:val="24"/>
          <w:szCs w:val="24"/>
          <w:highlight w:val="none"/>
        </w:rPr>
        <w:t>甲方因此造成的全部损失，甲方对该纠纷不承担任何责任、损失及费用。</w:t>
      </w:r>
    </w:p>
    <w:p w14:paraId="02B8BC89">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如果货物或货物的任何部分，因最终裁决构成侵权，其使用被限制，乙方应自担费用并主动做出相应的安排：或为甲方获取继续使用受指控侵权的货物或货物的某一部分的权利，或用不会造成侵权的同等</w:t>
      </w:r>
      <w:r>
        <w:rPr>
          <w:rFonts w:hint="eastAsia" w:ascii="仿宋" w:hAnsi="仿宋" w:eastAsia="仿宋" w:cs="仿宋"/>
          <w:sz w:val="24"/>
          <w:szCs w:val="24"/>
          <w:highlight w:val="none"/>
          <w:lang w:eastAsia="zh-CN"/>
        </w:rPr>
        <w:t>规格型号、</w:t>
      </w:r>
      <w:r>
        <w:rPr>
          <w:rFonts w:hint="eastAsia" w:ascii="仿宋" w:hAnsi="仿宋" w:eastAsia="仿宋" w:cs="仿宋"/>
          <w:sz w:val="24"/>
          <w:szCs w:val="24"/>
          <w:highlight w:val="none"/>
        </w:rPr>
        <w:t>技术</w:t>
      </w:r>
      <w:r>
        <w:rPr>
          <w:rFonts w:hint="eastAsia" w:ascii="仿宋" w:hAnsi="仿宋" w:eastAsia="仿宋" w:cs="仿宋"/>
          <w:sz w:val="24"/>
          <w:szCs w:val="24"/>
          <w:highlight w:val="none"/>
          <w:lang w:eastAsia="zh-CN"/>
        </w:rPr>
        <w:t>、质量</w:t>
      </w:r>
      <w:r>
        <w:rPr>
          <w:rFonts w:hint="eastAsia" w:ascii="仿宋" w:hAnsi="仿宋" w:eastAsia="仿宋" w:cs="仿宋"/>
          <w:sz w:val="24"/>
          <w:szCs w:val="24"/>
          <w:highlight w:val="none"/>
        </w:rPr>
        <w:t>水平的货物更换。</w:t>
      </w:r>
      <w:r>
        <w:rPr>
          <w:rFonts w:hint="eastAsia" w:ascii="仿宋" w:hAnsi="仿宋" w:eastAsia="仿宋" w:cs="仿宋"/>
          <w:color w:val="auto"/>
          <w:sz w:val="24"/>
          <w:szCs w:val="24"/>
          <w:highlight w:val="none"/>
        </w:rPr>
        <w:t>同时，</w:t>
      </w:r>
      <w:r>
        <w:rPr>
          <w:rFonts w:hint="eastAsia" w:ascii="仿宋" w:hAnsi="仿宋" w:eastAsia="仿宋" w:cs="仿宋"/>
          <w:sz w:val="24"/>
          <w:szCs w:val="24"/>
          <w:highlight w:val="none"/>
        </w:rPr>
        <w:t>乙方应按照本合同总金额</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%赔偿甲方因此受到的损失，且不能免除乙方履行本合同的义务。</w:t>
      </w:r>
    </w:p>
    <w:p w14:paraId="5D689FB9">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六、不可抗力</w:t>
      </w:r>
    </w:p>
    <w:p w14:paraId="63084A35">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甲乙任何一方因自然灾害、战争、疾病或其他甲乙任何一方均不能预见、不能避免且不能克服的事由（以下简称“不可抗力”），延迟履行或不能完全履行本合同规定的责任和义务的，遭遇不可抗力事由的该当事人可免除承担相应的违约责任。</w:t>
      </w:r>
    </w:p>
    <w:p w14:paraId="5D14AEF6">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由于不可抗力，甲乙任何一方未履行本合同项下的己方义务时，直至该当事人履行该义务止的期间，另一方可停止履行本合同项下的己方义务，而无需对该当事人承担任何责任。</w:t>
      </w:r>
    </w:p>
    <w:p w14:paraId="799D705B">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七、乙方责任</w:t>
      </w:r>
    </w:p>
    <w:p w14:paraId="1A89A957">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乙方逾期交货的，每延期一天，乙方</w:t>
      </w:r>
      <w:r>
        <w:rPr>
          <w:rFonts w:hint="eastAsia" w:ascii="仿宋" w:hAnsi="仿宋" w:eastAsia="仿宋" w:cs="仿宋"/>
          <w:color w:val="000000" w:themeColor="text1"/>
          <w:sz w:val="24"/>
          <w:szCs w:val="24"/>
          <w:highlight w:val="none"/>
          <w14:textFill>
            <w14:solidFill>
              <w14:schemeClr w14:val="tx1"/>
            </w14:solidFill>
          </w14:textFill>
        </w:rPr>
        <w:t>应向甲方</w:t>
      </w:r>
      <w:r>
        <w:rPr>
          <w:rFonts w:hint="eastAsia" w:ascii="仿宋" w:hAnsi="仿宋" w:eastAsia="仿宋" w:cs="仿宋"/>
          <w:color w:val="000000" w:themeColor="text1"/>
          <w:sz w:val="24"/>
          <w:szCs w:val="24"/>
          <w:highlight w:val="none"/>
          <w:lang w:eastAsia="zh-CN"/>
          <w14:textFill>
            <w14:solidFill>
              <w14:schemeClr w14:val="tx1"/>
            </w14:solidFill>
          </w14:textFill>
        </w:rPr>
        <w:t>支付</w:t>
      </w:r>
      <w:r>
        <w:rPr>
          <w:rFonts w:hint="eastAsia" w:ascii="仿宋" w:hAnsi="仿宋" w:eastAsia="仿宋" w:cs="仿宋"/>
          <w:color w:val="000000" w:themeColor="text1"/>
          <w:sz w:val="24"/>
          <w:szCs w:val="24"/>
          <w:highlight w:val="none"/>
          <w14:textFill>
            <w14:solidFill>
              <w14:schemeClr w14:val="tx1"/>
            </w14:solidFill>
          </w14:textFill>
        </w:rPr>
        <w:t>以延期交货部分货款总</w:t>
      </w:r>
      <w:r>
        <w:rPr>
          <w:rFonts w:hint="eastAsia" w:ascii="仿宋" w:hAnsi="仿宋" w:eastAsia="仿宋" w:cs="仿宋"/>
          <w:color w:val="000000" w:themeColor="text1"/>
          <w:kern w:val="0"/>
          <w:sz w:val="24"/>
          <w:szCs w:val="24"/>
          <w:highlight w:val="none"/>
          <w14:textFill>
            <w14:solidFill>
              <w14:schemeClr w14:val="tx1"/>
            </w14:solidFill>
          </w14:textFill>
        </w:rPr>
        <w:t>值</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1</w:t>
      </w:r>
      <w:r>
        <w:rPr>
          <w:rFonts w:hint="eastAsia" w:ascii="仿宋" w:hAnsi="仿宋" w:eastAsia="仿宋" w:cs="仿宋"/>
          <w:color w:val="000000" w:themeColor="text1"/>
          <w:kern w:val="0"/>
          <w:sz w:val="24"/>
          <w:szCs w:val="24"/>
          <w:highlight w:val="none"/>
          <w14:textFill>
            <w14:solidFill>
              <w14:schemeClr w14:val="tx1"/>
            </w14:solidFill>
          </w14:textFill>
        </w:rPr>
        <w:t>%的违约金，并承担甲方因此所受的损失费用。</w:t>
      </w:r>
    </w:p>
    <w:p w14:paraId="0DA66E0C">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乙方在合同约定的交货日期届满后</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kern w:val="0"/>
          <w:sz w:val="24"/>
          <w:szCs w:val="24"/>
          <w:highlight w:val="none"/>
          <w14:textFill>
            <w14:solidFill>
              <w14:schemeClr w14:val="tx1"/>
            </w14:solidFill>
          </w14:textFill>
        </w:rPr>
        <w:t>天内仍</w:t>
      </w:r>
      <w:r>
        <w:rPr>
          <w:rFonts w:hint="eastAsia" w:ascii="仿宋" w:hAnsi="仿宋" w:eastAsia="仿宋" w:cs="仿宋"/>
          <w:color w:val="000000" w:themeColor="text1"/>
          <w:sz w:val="24"/>
          <w:szCs w:val="24"/>
          <w:highlight w:val="none"/>
          <w14:textFill>
            <w14:solidFill>
              <w14:schemeClr w14:val="tx1"/>
            </w14:solidFill>
          </w14:textFill>
        </w:rPr>
        <w:t>不能交货的，甲方有权解除合同，且乙方应向甲方偿付本合同货款总金额</w:t>
      </w:r>
      <w:r>
        <w:rPr>
          <w:rFonts w:hint="eastAsia" w:ascii="仿宋" w:hAnsi="仿宋" w:eastAsia="仿宋" w:cs="仿宋"/>
          <w:color w:val="000000" w:themeColor="text1"/>
          <w:sz w:val="24"/>
          <w:szCs w:val="24"/>
          <w:highlight w:val="none"/>
          <w:lang w:val="en-US" w:eastAsia="zh-CN"/>
          <w14:textFill>
            <w14:solidFill>
              <w14:schemeClr w14:val="tx1"/>
            </w14:solidFill>
          </w14:textFill>
        </w:rPr>
        <w:t>20</w:t>
      </w:r>
      <w:r>
        <w:rPr>
          <w:rFonts w:hint="eastAsia" w:ascii="仿宋" w:hAnsi="仿宋" w:eastAsia="仿宋" w:cs="仿宋"/>
          <w:color w:val="000000" w:themeColor="text1"/>
          <w:sz w:val="24"/>
          <w:szCs w:val="24"/>
          <w:highlight w:val="none"/>
          <w14:textFill>
            <w14:solidFill>
              <w14:schemeClr w14:val="tx1"/>
            </w14:solidFill>
          </w14:textFill>
        </w:rPr>
        <w:t>%的违约金。</w:t>
      </w:r>
    </w:p>
    <w:p w14:paraId="294BB6E5">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color w:val="000000" w:themeColor="text1"/>
          <w:kern w:val="0"/>
          <w:sz w:val="24"/>
          <w:szCs w:val="24"/>
          <w:highlight w:val="none"/>
          <w14:textFill>
            <w14:solidFill>
              <w14:schemeClr w14:val="tx1"/>
            </w14:solidFill>
          </w14:textFill>
        </w:rPr>
        <w:t>3</w:t>
      </w: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乙方所交货物品种</w:t>
      </w:r>
      <w:r>
        <w:rPr>
          <w:rFonts w:hint="eastAsia" w:ascii="仿宋" w:hAnsi="仿宋" w:eastAsia="仿宋" w:cs="仿宋"/>
          <w:color w:val="000000" w:themeColor="text1"/>
          <w:sz w:val="24"/>
          <w:szCs w:val="24"/>
          <w:highlight w:val="none"/>
          <w14:textFill>
            <w14:solidFill>
              <w14:schemeClr w14:val="tx1"/>
            </w14:solidFill>
          </w14:textFill>
        </w:rPr>
        <w:t>、规格、质量不符合合同规定的，如果甲方同意</w:t>
      </w:r>
      <w:r>
        <w:rPr>
          <w:rFonts w:hint="eastAsia" w:ascii="仿宋" w:hAnsi="仿宋" w:eastAsia="仿宋" w:cs="仿宋"/>
          <w:color w:val="000000" w:themeColor="text1"/>
          <w:sz w:val="24"/>
          <w:szCs w:val="24"/>
          <w:highlight w:val="none"/>
          <w:lang w:eastAsia="zh-CN"/>
          <w14:textFill>
            <w14:solidFill>
              <w14:schemeClr w14:val="tx1"/>
            </w14:solidFill>
          </w14:textFill>
        </w:rPr>
        <w:t>使</w:t>
      </w:r>
      <w:r>
        <w:rPr>
          <w:rFonts w:hint="eastAsia" w:ascii="仿宋" w:hAnsi="仿宋" w:eastAsia="仿宋" w:cs="仿宋"/>
          <w:color w:val="000000" w:themeColor="text1"/>
          <w:sz w:val="24"/>
          <w:szCs w:val="24"/>
          <w:highlight w:val="none"/>
          <w14:textFill>
            <w14:solidFill>
              <w14:schemeClr w14:val="tx1"/>
            </w14:solidFill>
          </w14:textFill>
        </w:rPr>
        <w:t>用，应当按质论价；如果甲方不同意或不能</w:t>
      </w:r>
      <w:r>
        <w:rPr>
          <w:rFonts w:hint="eastAsia" w:ascii="仿宋" w:hAnsi="仿宋" w:eastAsia="仿宋" w:cs="仿宋"/>
          <w:color w:val="000000" w:themeColor="text1"/>
          <w:sz w:val="24"/>
          <w:szCs w:val="24"/>
          <w:highlight w:val="none"/>
          <w:lang w:eastAsia="zh-CN"/>
          <w14:textFill>
            <w14:solidFill>
              <w14:schemeClr w14:val="tx1"/>
            </w14:solidFill>
          </w14:textFill>
        </w:rPr>
        <w:t>使</w:t>
      </w:r>
      <w:r>
        <w:rPr>
          <w:rFonts w:hint="eastAsia" w:ascii="仿宋" w:hAnsi="仿宋" w:eastAsia="仿宋" w:cs="仿宋"/>
          <w:color w:val="000000" w:themeColor="text1"/>
          <w:sz w:val="24"/>
          <w:szCs w:val="24"/>
          <w:highlight w:val="none"/>
          <w14:textFill>
            <w14:solidFill>
              <w14:schemeClr w14:val="tx1"/>
            </w14:solidFill>
          </w14:textFill>
        </w:rPr>
        <w:t>用的，由乙方负责按甲方要求包换、包修、</w:t>
      </w:r>
      <w:r>
        <w:rPr>
          <w:rFonts w:hint="eastAsia" w:ascii="仿宋" w:hAnsi="仿宋" w:eastAsia="仿宋" w:cs="仿宋"/>
          <w:sz w:val="24"/>
          <w:szCs w:val="24"/>
          <w:highlight w:val="none"/>
        </w:rPr>
        <w:t>包退，并承担修理、调换或退货而支付的实际费用。乙方不能修理或者不能调换的，按不能交货处理。</w:t>
      </w:r>
    </w:p>
    <w:p w14:paraId="7394FEE8">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乙方未按合同规定的货物数量交货时，少交的部分，甲方如果需要，应照数补交。甲方如不需要，可以退货。由于退货所造成的损失，由乙方承担。</w:t>
      </w:r>
    </w:p>
    <w:p w14:paraId="29D07C8F">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货物包装不符合合同规定时，乙方必须返修或重新包装，并承担返修或重新包装的费用。甲方不要求返修或重新包装而要求赔偿损失的，乙方应当偿付甲方该不合格包装物低于合格包装物的价值部分。因包装不符合规定造成货物损坏或灭失的，乙方应当负责赔偿。</w:t>
      </w:r>
    </w:p>
    <w:p w14:paraId="2E1CEC37">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质量保证期内，乙方逾期维修或退换货的，每延期一天，应按本合同总价</w:t>
      </w:r>
      <w:r>
        <w:rPr>
          <w:rFonts w:hint="eastAsia" w:ascii="仿宋" w:hAnsi="仿宋" w:eastAsia="仿宋" w:cs="仿宋"/>
          <w:sz w:val="24"/>
          <w:szCs w:val="24"/>
          <w:highlight w:val="none"/>
          <w:lang w:val="en-US" w:eastAsia="zh-CN"/>
        </w:rPr>
        <w:t>1</w:t>
      </w:r>
      <w:r>
        <w:rPr>
          <w:rFonts w:hint="eastAsia" w:ascii="仿宋" w:hAnsi="仿宋" w:eastAsia="仿宋" w:cs="仿宋"/>
          <w:kern w:val="0"/>
          <w:sz w:val="24"/>
          <w:szCs w:val="24"/>
          <w:highlight w:val="none"/>
        </w:rPr>
        <w:t>%向甲方支付违约金。乙方逾期维修超过</w:t>
      </w:r>
      <w:r>
        <w:rPr>
          <w:rFonts w:hint="eastAsia" w:ascii="仿宋" w:hAnsi="仿宋" w:eastAsia="仿宋" w:cs="仿宋"/>
          <w:kern w:val="0"/>
          <w:sz w:val="24"/>
          <w:szCs w:val="24"/>
          <w:highlight w:val="none"/>
          <w:lang w:val="en-US" w:eastAsia="zh-CN"/>
        </w:rPr>
        <w:t>3</w:t>
      </w:r>
      <w:r>
        <w:rPr>
          <w:rFonts w:hint="eastAsia" w:ascii="仿宋" w:hAnsi="仿宋" w:eastAsia="仿宋" w:cs="仿宋"/>
          <w:kern w:val="0"/>
          <w:sz w:val="24"/>
          <w:szCs w:val="24"/>
          <w:highlight w:val="none"/>
        </w:rPr>
        <w:t>天的，甲方有权自行或委托第三方维修，因此发生的费用直接从预留的质保金中抵扣，不足部分甲方有权继续向乙方追偿。乙方逾期退换货超过</w:t>
      </w:r>
      <w:r>
        <w:rPr>
          <w:rFonts w:hint="eastAsia" w:ascii="仿宋" w:hAnsi="仿宋" w:eastAsia="仿宋" w:cs="仿宋"/>
          <w:kern w:val="0"/>
          <w:sz w:val="24"/>
          <w:szCs w:val="24"/>
          <w:highlight w:val="none"/>
          <w:lang w:val="en-US" w:eastAsia="zh-CN"/>
        </w:rPr>
        <w:t>7</w:t>
      </w:r>
      <w:r>
        <w:rPr>
          <w:rFonts w:hint="eastAsia" w:ascii="仿宋" w:hAnsi="仿宋" w:eastAsia="仿宋" w:cs="仿宋"/>
          <w:kern w:val="0"/>
          <w:sz w:val="24"/>
          <w:szCs w:val="24"/>
          <w:highlight w:val="none"/>
        </w:rPr>
        <w:t>天的，甲方有权解除合同，乙方按合同总价的</w:t>
      </w:r>
      <w:r>
        <w:rPr>
          <w:rFonts w:hint="eastAsia" w:ascii="仿宋" w:hAnsi="仿宋" w:eastAsia="仿宋" w:cs="仿宋"/>
          <w:kern w:val="0"/>
          <w:sz w:val="24"/>
          <w:szCs w:val="24"/>
          <w:highlight w:val="none"/>
          <w:lang w:val="en-US" w:eastAsia="zh-CN"/>
        </w:rPr>
        <w:t>20</w:t>
      </w:r>
      <w:r>
        <w:rPr>
          <w:rFonts w:hint="eastAsia" w:ascii="仿宋" w:hAnsi="仿宋" w:eastAsia="仿宋" w:cs="仿宋"/>
          <w:kern w:val="0"/>
          <w:sz w:val="24"/>
          <w:szCs w:val="24"/>
          <w:highlight w:val="none"/>
        </w:rPr>
        <w:t>%承担违约责任。</w:t>
      </w:r>
    </w:p>
    <w:p w14:paraId="038569F2">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7、乙方在安装施工过程中，应服从甲方人员有关安全管理的所有要求，不得违规操作。所有工序应遵循有关技术质量安全管理的规程与规范。如因乙方自身原因，发生场内场外人员伤亡及其相关财产损失的，一切费用支付、损失赔偿及其相关全部法律后果，均由乙方自行全部承担，与甲方无关。</w:t>
      </w:r>
    </w:p>
    <w:p w14:paraId="3C03756B">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为了强化和落实乙方的安全管理责任，乙方须同时随本合同签订“安全生产目标管理责任书”及“施工现场安全管理目标承诺书”（详见本合同附件）。</w:t>
      </w:r>
    </w:p>
    <w:p w14:paraId="12AE10AF">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八、甲方责任</w:t>
      </w:r>
    </w:p>
    <w:p w14:paraId="345CC318">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甲方无正当理由违反合同规定拒绝接货的，应当承担由此造成的损失。</w:t>
      </w:r>
    </w:p>
    <w:p w14:paraId="36C3546E">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甲方应按规定日期向乙方</w:t>
      </w:r>
      <w:r>
        <w:rPr>
          <w:rFonts w:hint="eastAsia" w:ascii="仿宋" w:hAnsi="仿宋" w:eastAsia="仿宋" w:cs="仿宋"/>
          <w:color w:val="000000" w:themeColor="text1"/>
          <w:sz w:val="24"/>
          <w:szCs w:val="24"/>
          <w:highlight w:val="none"/>
          <w14:textFill>
            <w14:solidFill>
              <w14:schemeClr w14:val="tx1"/>
            </w14:solidFill>
          </w14:textFill>
        </w:rPr>
        <w:t>付款。如果</w:t>
      </w:r>
      <w:r>
        <w:rPr>
          <w:rFonts w:hint="eastAsia" w:ascii="仿宋" w:hAnsi="仿宋" w:eastAsia="仿宋" w:cs="仿宋"/>
          <w:color w:val="000000" w:themeColor="text1"/>
          <w:sz w:val="24"/>
          <w:szCs w:val="24"/>
          <w:highlight w:val="none"/>
          <w:lang w:eastAsia="zh-CN"/>
          <w14:textFill>
            <w14:solidFill>
              <w14:schemeClr w14:val="tx1"/>
            </w14:solidFill>
          </w14:textFill>
        </w:rPr>
        <w:t>无故</w:t>
      </w:r>
      <w:r>
        <w:rPr>
          <w:rFonts w:hint="eastAsia" w:ascii="仿宋" w:hAnsi="仿宋" w:eastAsia="仿宋" w:cs="仿宋"/>
          <w:color w:val="000000" w:themeColor="text1"/>
          <w:sz w:val="24"/>
          <w:szCs w:val="24"/>
          <w:highlight w:val="none"/>
          <w14:textFill>
            <w14:solidFill>
              <w14:schemeClr w14:val="tx1"/>
            </w14:solidFill>
          </w14:textFill>
        </w:rPr>
        <w:t>逾期付款，应就逾期付款部分按照中国人民银行规定的同期</w:t>
      </w:r>
      <w:r>
        <w:rPr>
          <w:rFonts w:hint="eastAsia" w:ascii="仿宋" w:hAnsi="仿宋" w:eastAsia="仿宋" w:cs="仿宋"/>
          <w:color w:val="000000" w:themeColor="text1"/>
          <w:sz w:val="24"/>
          <w:szCs w:val="24"/>
          <w:highlight w:val="none"/>
          <w:lang w:eastAsia="zh-CN"/>
          <w14:textFill>
            <w14:solidFill>
              <w14:schemeClr w14:val="tx1"/>
            </w14:solidFill>
          </w14:textFill>
        </w:rPr>
        <w:t>存款</w:t>
      </w:r>
      <w:r>
        <w:rPr>
          <w:rFonts w:hint="eastAsia" w:ascii="仿宋" w:hAnsi="仿宋" w:eastAsia="仿宋" w:cs="仿宋"/>
          <w:color w:val="000000" w:themeColor="text1"/>
          <w:sz w:val="24"/>
          <w:szCs w:val="24"/>
          <w:highlight w:val="none"/>
          <w14:textFill>
            <w14:solidFill>
              <w14:schemeClr w14:val="tx1"/>
            </w14:solidFill>
          </w14:textFill>
        </w:rPr>
        <w:t>利率向乙方支付违约金。</w:t>
      </w:r>
    </w:p>
    <w:p w14:paraId="45AAD29A">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九、合同争议的解决方式</w:t>
      </w:r>
    </w:p>
    <w:p w14:paraId="15D20001">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双方在履行合同过程中如有未尽事宜或发生争议的，双方应友好协商，妥善解决。如确实协商不成的，可向甲方所在地人民法院提起诉讼解决。甲方为主张权利产生的所有费用（包括但不限于律师费、诉讼收费、保全费、诉讼保全担保费、公证费、鉴定费、评估费、以及因诉讼产生的交通费与住宿费等相关合理费用等）均由乙方进行承担。</w:t>
      </w:r>
    </w:p>
    <w:p w14:paraId="530F4849">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十、权利的主张及索赔</w:t>
      </w:r>
    </w:p>
    <w:p w14:paraId="4C1B5D7F">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outlineLvl w:val="0"/>
        <w:rPr>
          <w:rFonts w:hint="eastAsia" w:ascii="仿宋" w:hAnsi="仿宋" w:eastAsia="仿宋" w:cs="仿宋"/>
          <w:sz w:val="24"/>
          <w:szCs w:val="24"/>
          <w:highlight w:val="none"/>
        </w:rPr>
      </w:pPr>
      <w:r>
        <w:rPr>
          <w:rFonts w:hint="eastAsia" w:ascii="仿宋" w:hAnsi="仿宋" w:eastAsia="仿宋" w:cs="仿宋"/>
          <w:sz w:val="24"/>
          <w:szCs w:val="24"/>
          <w:highlight w:val="none"/>
        </w:rPr>
        <w:t>甲方为主张权利产生的所有费用（包括但不限于律师费、诉讼收费、保全费、诉讼保全担保费、公证费、鉴定费、评估费、以及因诉讼产生的交通费与住宿费等相关合理费用等）均由乙方进行承担。</w:t>
      </w:r>
    </w:p>
    <w:p w14:paraId="23DC885A">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十一、送达</w:t>
      </w:r>
    </w:p>
    <w:p w14:paraId="367FB51C">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本合同项下任何一方向对方发出的通知、信件、数据电文等，应当发送至本合同</w:t>
      </w:r>
      <w:r>
        <w:rPr>
          <w:rFonts w:hint="eastAsia" w:ascii="仿宋" w:hAnsi="仿宋" w:eastAsia="仿宋" w:cs="仿宋"/>
          <w:sz w:val="24"/>
          <w:szCs w:val="24"/>
          <w:highlight w:val="none"/>
          <w:lang w:val="en-US" w:eastAsia="zh-CN"/>
        </w:rPr>
        <w:t>签署页</w:t>
      </w:r>
      <w:r>
        <w:rPr>
          <w:rFonts w:hint="eastAsia" w:ascii="仿宋" w:hAnsi="仿宋" w:eastAsia="仿宋" w:cs="仿宋"/>
          <w:sz w:val="24"/>
          <w:szCs w:val="24"/>
          <w:highlight w:val="none"/>
        </w:rPr>
        <w:t>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201A5DDB">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lang w:eastAsia="zh-CN"/>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条第一款约定的地址、联系人及电子通信终端亦为双方工作联系往来、法律文书及争议解决时人民法院的法律文书送达地址，人民法院的诉讼文书（含裁判文书）向合同任何一方当事人的上述地址送达的，视为有效送达。当事人对电</w:t>
      </w:r>
      <w:r>
        <w:rPr>
          <w:rFonts w:hint="eastAsia" w:ascii="仿宋" w:hAnsi="仿宋" w:eastAsia="仿宋" w:cs="仿宋"/>
          <w:color w:val="auto"/>
          <w:sz w:val="24"/>
          <w:szCs w:val="24"/>
          <w:highlight w:val="none"/>
        </w:rPr>
        <w:t>子通信终端的联系送达适用于争议解决时的送达。</w:t>
      </w:r>
    </w:p>
    <w:p w14:paraId="79D4885D">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合同送达条款与保密条款、争议解决条款均为独立条款，不受合同整体或其他条款的效力的影响。</w:t>
      </w:r>
    </w:p>
    <w:p w14:paraId="1E2C0E8E">
      <w:pPr>
        <w:pStyle w:val="5"/>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十二、其</w:t>
      </w:r>
      <w:r>
        <w:rPr>
          <w:rFonts w:hint="eastAsia" w:ascii="仿宋" w:hAnsi="仿宋" w:eastAsia="仿宋" w:cs="仿宋"/>
          <w:b/>
          <w:bCs/>
          <w:color w:val="auto"/>
          <w:sz w:val="24"/>
          <w:szCs w:val="24"/>
          <w:highlight w:val="none"/>
          <w:lang w:eastAsia="zh-CN"/>
        </w:rPr>
        <w:t>它</w:t>
      </w:r>
    </w:p>
    <w:p w14:paraId="702AF326">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1、本合同附甲方项目负责人“授权委托书”，乙方签订合同前已了解知晓相关内容。</w:t>
      </w:r>
    </w:p>
    <w:p w14:paraId="32C44811">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432" w:firstLineChars="180"/>
        <w:jc w:val="both"/>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2、乙方与甲方拟定、签订本合同时，需根据甲方要求将</w:t>
      </w:r>
      <w:r>
        <w:rPr>
          <w:rFonts w:hint="eastAsia" w:ascii="仿宋" w:hAnsi="仿宋" w:eastAsia="仿宋" w:cs="仿宋"/>
          <w:b/>
          <w:bCs/>
          <w:color w:val="auto"/>
          <w:kern w:val="0"/>
          <w:sz w:val="24"/>
          <w:szCs w:val="24"/>
          <w:highlight w:val="none"/>
          <w:lang w:val="en-US" w:eastAsia="zh-CN"/>
        </w:rPr>
        <w:t>营业执照、开户信息证明、资质、法人代表身份证、经办人身份证、及与签订本合同有关的其它证件资料，扫描电子版清晰附于本合同甲方“项目负责人授权委托书”后</w:t>
      </w:r>
      <w:r>
        <w:rPr>
          <w:rFonts w:hint="eastAsia" w:ascii="仿宋" w:hAnsi="仿宋" w:eastAsia="仿宋" w:cs="仿宋"/>
          <w:color w:val="auto"/>
          <w:kern w:val="0"/>
          <w:sz w:val="24"/>
          <w:szCs w:val="24"/>
          <w:highlight w:val="none"/>
          <w:lang w:val="en-US" w:eastAsia="zh-CN"/>
        </w:rPr>
        <w:t>，以供甲方核验。</w:t>
      </w:r>
    </w:p>
    <w:p w14:paraId="04D0B019">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482" w:firstLineChars="200"/>
        <w:jc w:val="both"/>
        <w:textAlignment w:val="auto"/>
        <w:rPr>
          <w:rFonts w:hint="eastAsia" w:ascii="仿宋" w:hAnsi="仿宋" w:eastAsia="仿宋" w:cs="仿宋"/>
          <w:b/>
          <w:bCs/>
          <w:color w:val="auto"/>
          <w:kern w:val="0"/>
          <w:sz w:val="24"/>
          <w:szCs w:val="24"/>
          <w:highlight w:val="none"/>
        </w:rPr>
      </w:pPr>
      <w:bookmarkStart w:id="0" w:name="_Hlk96441036"/>
      <w:bookmarkStart w:id="1" w:name="_Hlk96440791"/>
      <w:r>
        <w:rPr>
          <w:rFonts w:hint="eastAsia" w:ascii="仿宋" w:hAnsi="仿宋" w:eastAsia="仿宋" w:cs="仿宋"/>
          <w:b/>
          <w:bCs/>
          <w:color w:val="auto"/>
          <w:kern w:val="0"/>
          <w:sz w:val="24"/>
          <w:szCs w:val="24"/>
          <w:highlight w:val="none"/>
          <w:lang w:val="en-US" w:eastAsia="zh-CN"/>
        </w:rPr>
        <w:t>3、</w:t>
      </w:r>
      <w:r>
        <w:rPr>
          <w:rFonts w:hint="eastAsia" w:ascii="仿宋" w:hAnsi="仿宋" w:eastAsia="仿宋" w:cs="仿宋"/>
          <w:b/>
          <w:bCs/>
          <w:color w:val="auto"/>
          <w:kern w:val="0"/>
          <w:sz w:val="24"/>
          <w:szCs w:val="24"/>
          <w:highlight w:val="none"/>
        </w:rPr>
        <w:t>甲方特别声明：本项目中所有补充合同、签证单、结算单、对账单、运单、借条、证明等经济资料，均需有甲方盖章，甲方并未授权任何个人有权单独签署上述经济资料，任何仅有个人签字（没有甲方盖章）以甲方名义签署的补充合同、签证单、结算单、对账单、借条、证明等经济资料均不构成表见代理，由此所产生的一切责任及法律后果，均由擅自签订（字）人各方自行承担，与甲方无关，不对甲方产生任何法律效力！</w:t>
      </w:r>
    </w:p>
    <w:p w14:paraId="00FE8706">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482" w:firstLineChars="200"/>
        <w:jc w:val="both"/>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一切私刻、私拓甲方公章，以甲方名义所签订任何合同与文件，包括私拓甲方授权文件以甲方名义擅自出具任何授权委托书等，甲方均不予认可，且均不对甲方产生任何法律效力！</w:t>
      </w:r>
    </w:p>
    <w:bookmarkEnd w:id="0"/>
    <w:bookmarkEnd w:id="1"/>
    <w:p w14:paraId="097243D2">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482" w:firstLineChars="200"/>
        <w:jc w:val="both"/>
        <w:textAlignment w:val="auto"/>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若无甲方相关授权文件，即甲方并未授权任何个人有权签署上述有关文件及凭证等，仅有甲方未被授权人员个人签字、私刻私拓甲方公章及私拓甲方授权委托书文本以甲方名义擅自出具任何授权委托书等，签订的文书包括但不限于合同、补充协议、欠条、对账单等均不构成任何表见代理，由此所产生的一切责任及其全部法律后果，均由擅自签订人各方自行全部承担，与甲方无关，且均不对甲方产生任何法律效力！</w:t>
      </w:r>
    </w:p>
    <w:p w14:paraId="70C9500F">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w:t>
      </w:r>
      <w:r>
        <w:rPr>
          <w:rFonts w:hint="eastAsia" w:ascii="仿宋" w:hAnsi="仿宋" w:eastAsia="仿宋" w:cs="仿宋"/>
          <w:kern w:val="0"/>
          <w:sz w:val="24"/>
          <w:szCs w:val="24"/>
          <w:highlight w:val="none"/>
        </w:rPr>
        <w:t>本合同一式</w:t>
      </w:r>
      <w:permStart w:id="21" w:edGrp="everyone"/>
      <w:r>
        <w:rPr>
          <w:rFonts w:hint="eastAsia" w:ascii="仿宋" w:hAnsi="仿宋" w:eastAsia="仿宋" w:cs="仿宋"/>
          <w:kern w:val="0"/>
          <w:sz w:val="24"/>
          <w:szCs w:val="24"/>
          <w:highlight w:val="none"/>
        </w:rPr>
        <w:t>4</w:t>
      </w:r>
      <w:permEnd w:id="21"/>
      <w:r>
        <w:rPr>
          <w:rFonts w:hint="eastAsia" w:ascii="仿宋" w:hAnsi="仿宋" w:eastAsia="仿宋" w:cs="仿宋"/>
          <w:kern w:val="0"/>
          <w:sz w:val="24"/>
          <w:szCs w:val="24"/>
          <w:highlight w:val="none"/>
        </w:rPr>
        <w:t>份，甲方执</w:t>
      </w:r>
      <w:permStart w:id="22" w:edGrp="everyone"/>
      <w:r>
        <w:rPr>
          <w:rFonts w:hint="eastAsia" w:ascii="仿宋" w:hAnsi="仿宋" w:eastAsia="仿宋" w:cs="仿宋"/>
          <w:kern w:val="0"/>
          <w:sz w:val="24"/>
          <w:szCs w:val="24"/>
          <w:highlight w:val="none"/>
        </w:rPr>
        <w:t>3</w:t>
      </w:r>
      <w:permEnd w:id="22"/>
      <w:r>
        <w:rPr>
          <w:rFonts w:hint="eastAsia" w:ascii="仿宋" w:hAnsi="仿宋" w:eastAsia="仿宋" w:cs="仿宋"/>
          <w:kern w:val="0"/>
          <w:sz w:val="24"/>
          <w:szCs w:val="24"/>
          <w:highlight w:val="none"/>
        </w:rPr>
        <w:t>份，乙方</w:t>
      </w:r>
      <w:permStart w:id="23" w:edGrp="everyone"/>
      <w:r>
        <w:rPr>
          <w:rFonts w:hint="eastAsia" w:ascii="仿宋" w:hAnsi="仿宋" w:eastAsia="仿宋" w:cs="仿宋"/>
          <w:kern w:val="0"/>
          <w:sz w:val="24"/>
          <w:szCs w:val="24"/>
          <w:highlight w:val="none"/>
        </w:rPr>
        <w:t>1</w:t>
      </w:r>
      <w:permEnd w:id="23"/>
      <w:r>
        <w:rPr>
          <w:rFonts w:hint="eastAsia" w:ascii="仿宋" w:hAnsi="仿宋" w:eastAsia="仿宋" w:cs="仿宋"/>
          <w:kern w:val="0"/>
          <w:sz w:val="24"/>
          <w:szCs w:val="24"/>
          <w:highlight w:val="none"/>
        </w:rPr>
        <w:t>份。自双方法定代表人或委托代理人签字及单位盖章后生效，至合同条款履行完毕时终止</w:t>
      </w:r>
      <w:r>
        <w:rPr>
          <w:rFonts w:hint="eastAsia" w:ascii="仿宋" w:hAnsi="仿宋" w:eastAsia="仿宋" w:cs="仿宋"/>
          <w:sz w:val="24"/>
          <w:szCs w:val="24"/>
          <w:highlight w:val="none"/>
        </w:rPr>
        <w:t>。</w:t>
      </w:r>
    </w:p>
    <w:p w14:paraId="31E0DBCC">
      <w:pPr>
        <w:pStyle w:val="5"/>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本</w:t>
      </w:r>
      <w:r>
        <w:rPr>
          <w:rFonts w:hint="eastAsia" w:ascii="仿宋" w:hAnsi="仿宋" w:eastAsia="仿宋" w:cs="仿宋"/>
          <w:color w:val="000000" w:themeColor="text1"/>
          <w:sz w:val="24"/>
          <w:szCs w:val="24"/>
          <w:highlight w:val="none"/>
          <w14:textFill>
            <w14:solidFill>
              <w14:schemeClr w14:val="tx1"/>
            </w14:solidFill>
          </w14:textFill>
        </w:rPr>
        <w:t>合同</w:t>
      </w:r>
      <w:r>
        <w:rPr>
          <w:rFonts w:hint="eastAsia" w:ascii="仿宋" w:hAnsi="仿宋" w:eastAsia="仿宋" w:cs="仿宋"/>
          <w:color w:val="000000" w:themeColor="text1"/>
          <w:sz w:val="24"/>
          <w:szCs w:val="24"/>
          <w:highlight w:val="none"/>
          <w:lang w:eastAsia="zh-CN"/>
          <w14:textFill>
            <w14:solidFill>
              <w14:schemeClr w14:val="tx1"/>
            </w14:solidFill>
          </w14:textFill>
        </w:rPr>
        <w:t>如有</w:t>
      </w:r>
      <w:r>
        <w:rPr>
          <w:rFonts w:hint="eastAsia" w:ascii="仿宋" w:hAnsi="仿宋" w:eastAsia="仿宋" w:cs="仿宋"/>
          <w:color w:val="000000" w:themeColor="text1"/>
          <w:sz w:val="24"/>
          <w:szCs w:val="24"/>
          <w:highlight w:val="none"/>
          <w14:textFill>
            <w14:solidFill>
              <w14:schemeClr w14:val="tx1"/>
            </w14:solidFill>
          </w14:textFill>
        </w:rPr>
        <w:t>未尽事宜，经双方商定后确实需要补充增加相关内容的，可签</w:t>
      </w:r>
      <w:r>
        <w:rPr>
          <w:rFonts w:hint="eastAsia" w:ascii="仿宋" w:hAnsi="仿宋" w:eastAsia="仿宋" w:cs="仿宋"/>
          <w:sz w:val="24"/>
          <w:szCs w:val="24"/>
          <w:highlight w:val="none"/>
        </w:rPr>
        <w:t>订补充协议，补充协议与本合同具</w:t>
      </w:r>
      <w:r>
        <w:rPr>
          <w:rFonts w:hint="eastAsia" w:ascii="仿宋" w:hAnsi="仿宋" w:eastAsia="仿宋" w:cs="仿宋"/>
          <w:kern w:val="0"/>
          <w:sz w:val="24"/>
          <w:szCs w:val="24"/>
          <w:highlight w:val="none"/>
        </w:rPr>
        <w:t>有同等效力。</w:t>
      </w:r>
    </w:p>
    <w:p w14:paraId="1DE9505F">
      <w:pPr>
        <w:pStyle w:val="5"/>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(以下无正文，为签署页）</w:t>
      </w:r>
    </w:p>
    <w:p w14:paraId="1957B39B">
      <w:pPr>
        <w:rPr>
          <w:rFonts w:hint="eastAsia" w:ascii="仿宋" w:hAnsi="仿宋" w:eastAsia="仿宋" w:cs="仿宋"/>
          <w:bCs/>
          <w:sz w:val="24"/>
          <w:szCs w:val="24"/>
          <w:highlight w:val="none"/>
        </w:rPr>
      </w:pPr>
      <w:r>
        <w:rPr>
          <w:rFonts w:hint="eastAsia" w:ascii="仿宋" w:hAnsi="仿宋" w:eastAsia="仿宋" w:cs="仿宋"/>
          <w:bCs/>
          <w:sz w:val="24"/>
          <w:szCs w:val="24"/>
          <w:highlight w:val="none"/>
        </w:rPr>
        <w:br w:type="page"/>
      </w:r>
    </w:p>
    <w:p w14:paraId="3A1630A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甲方（盖章）：新疆通力房地产开发有限公司库尔勒二分公司</w:t>
      </w:r>
    </w:p>
    <w:p w14:paraId="4E436EF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统一社会信用代码：91652801MA792NP510</w:t>
      </w:r>
    </w:p>
    <w:p w14:paraId="02EF3E2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详细地址：新疆巴州库尔勒市人民东路北四巷9号通力华庭小区1栋1层01号</w:t>
      </w:r>
    </w:p>
    <w:p w14:paraId="3D1AED3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开户行：库尔勒银行股份有限公司新华路支行</w:t>
      </w:r>
    </w:p>
    <w:p w14:paraId="2A3BAB3C">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账  号： 736060100100087329</w:t>
      </w:r>
    </w:p>
    <w:p w14:paraId="67E7822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p>
    <w:p w14:paraId="4EFB670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val="en-US" w:eastAsia="zh-CN"/>
        </w:rPr>
        <w:t>甲方</w:t>
      </w:r>
      <w:r>
        <w:rPr>
          <w:rFonts w:hint="eastAsia" w:ascii="仿宋" w:hAnsi="仿宋" w:eastAsia="仿宋" w:cs="仿宋"/>
          <w:bCs/>
          <w:sz w:val="24"/>
          <w:szCs w:val="24"/>
          <w:highlight w:val="none"/>
        </w:rPr>
        <w:t>项目</w:t>
      </w:r>
      <w:r>
        <w:rPr>
          <w:rFonts w:hint="eastAsia" w:ascii="仿宋" w:hAnsi="仿宋" w:eastAsia="仿宋" w:cs="仿宋"/>
          <w:bCs/>
          <w:sz w:val="24"/>
          <w:szCs w:val="24"/>
          <w:highlight w:val="none"/>
          <w:lang w:val="en-US" w:eastAsia="zh-CN"/>
        </w:rPr>
        <w:t>现场</w:t>
      </w:r>
      <w:r>
        <w:rPr>
          <w:rFonts w:hint="eastAsia" w:ascii="仿宋" w:hAnsi="仿宋" w:eastAsia="仿宋" w:cs="仿宋"/>
          <w:bCs/>
          <w:sz w:val="24"/>
          <w:szCs w:val="24"/>
          <w:highlight w:val="none"/>
        </w:rPr>
        <w:t>负责人</w:t>
      </w:r>
      <w:r>
        <w:rPr>
          <w:rFonts w:hint="eastAsia" w:ascii="仿宋" w:hAnsi="仿宋" w:eastAsia="仿宋" w:cs="仿宋"/>
          <w:bCs/>
          <w:sz w:val="24"/>
          <w:szCs w:val="24"/>
          <w:highlight w:val="none"/>
          <w:lang w:val="en-US" w:eastAsia="zh-CN"/>
        </w:rPr>
        <w:t>或经其授权的代理人</w:t>
      </w:r>
      <w:r>
        <w:rPr>
          <w:rFonts w:hint="eastAsia" w:ascii="仿宋" w:hAnsi="仿宋" w:eastAsia="仿宋" w:cs="仿宋"/>
          <w:bCs/>
          <w:sz w:val="24"/>
          <w:szCs w:val="24"/>
          <w:highlight w:val="none"/>
        </w:rPr>
        <w:t>签字：</w:t>
      </w:r>
    </w:p>
    <w:p w14:paraId="45E7014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lang w:val="en-US" w:eastAsia="zh-CN"/>
        </w:rPr>
      </w:pPr>
      <w:r>
        <w:rPr>
          <w:rFonts w:hint="eastAsia" w:ascii="仿宋" w:hAnsi="仿宋" w:eastAsia="仿宋" w:cs="仿宋"/>
          <w:bCs/>
          <w:sz w:val="24"/>
          <w:szCs w:val="24"/>
        </w:rPr>
        <w:t>联系方式：</w:t>
      </w:r>
    </w:p>
    <w:p w14:paraId="279E381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default" w:ascii="仿宋" w:hAnsi="仿宋" w:eastAsia="仿宋" w:cs="仿宋"/>
          <w:bCs/>
          <w:sz w:val="24"/>
          <w:szCs w:val="24"/>
          <w:lang w:val="en-US"/>
        </w:rPr>
      </w:pPr>
      <w:r>
        <w:rPr>
          <w:rFonts w:hint="eastAsia" w:ascii="仿宋" w:hAnsi="仿宋" w:eastAsia="仿宋" w:cs="仿宋"/>
          <w:bCs/>
          <w:sz w:val="24"/>
          <w:szCs w:val="24"/>
        </w:rPr>
        <w:t>邮箱号：</w:t>
      </w:r>
    </w:p>
    <w:p w14:paraId="41CA8197">
      <w:pPr>
        <w:pStyle w:val="4"/>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7B666CDB">
      <w:pPr>
        <w:pStyle w:val="4"/>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4066C6E7">
      <w:pPr>
        <w:pStyle w:val="4"/>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354C967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rPr>
        <w:t>乙方（盖章）：</w:t>
      </w:r>
      <w:r>
        <w:rPr>
          <w:rFonts w:hint="eastAsia" w:ascii="仿宋" w:hAnsi="仿宋" w:eastAsia="仿宋" w:cs="仿宋"/>
          <w:bCs/>
          <w:sz w:val="24"/>
          <w:szCs w:val="24"/>
          <w:highlight w:val="none"/>
          <w:lang w:eastAsia="zh-CN"/>
        </w:rPr>
        <w:t>巴州方程视广告有限公司</w:t>
      </w:r>
    </w:p>
    <w:p w14:paraId="02E557C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统一社会信用代码：</w:t>
      </w:r>
      <w:r>
        <w:rPr>
          <w:rFonts w:hint="eastAsia" w:ascii="仿宋" w:hAnsi="仿宋" w:eastAsia="仿宋" w:cs="仿宋"/>
          <w:bCs/>
          <w:sz w:val="24"/>
          <w:szCs w:val="24"/>
          <w:highlight w:val="none"/>
          <w:lang w:val="en-US" w:eastAsia="zh-CN"/>
        </w:rPr>
        <w:t>91652801MA7AB2P11K</w:t>
      </w:r>
    </w:p>
    <w:p w14:paraId="1E59F4C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详细地址：</w:t>
      </w:r>
      <w:r>
        <w:rPr>
          <w:rFonts w:hint="eastAsia" w:ascii="仿宋" w:hAnsi="仿宋" w:eastAsia="仿宋" w:cs="仿宋"/>
          <w:bCs/>
          <w:sz w:val="24"/>
          <w:szCs w:val="24"/>
          <w:highlight w:val="none"/>
          <w:lang w:eastAsia="zh-CN"/>
        </w:rPr>
        <w:t>新疆巴州库尔勒市铁克其乡喀拉苏路69号蘭台府6栋2层04号</w:t>
      </w:r>
    </w:p>
    <w:p w14:paraId="43EE4F8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rPr>
      </w:pPr>
      <w:r>
        <w:rPr>
          <w:rFonts w:hint="eastAsia" w:ascii="仿宋" w:hAnsi="仿宋" w:eastAsia="仿宋" w:cs="仿宋"/>
          <w:bCs/>
          <w:sz w:val="24"/>
          <w:szCs w:val="24"/>
          <w:highlight w:val="none"/>
        </w:rPr>
        <w:t>开户行：中国农业银行库尔勒石化路支行</w:t>
      </w:r>
    </w:p>
    <w:p w14:paraId="3D76A45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账户：</w:t>
      </w:r>
      <w:r>
        <w:rPr>
          <w:rFonts w:hint="eastAsia" w:ascii="仿宋" w:hAnsi="仿宋" w:eastAsia="仿宋" w:cs="仿宋"/>
          <w:bCs/>
          <w:sz w:val="24"/>
          <w:szCs w:val="24"/>
          <w:highlight w:val="none"/>
          <w:lang w:val="en-US" w:eastAsia="zh-CN"/>
        </w:rPr>
        <w:t>30317301040003758</w:t>
      </w:r>
    </w:p>
    <w:p w14:paraId="4ADE0A3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p>
    <w:p w14:paraId="5D4A4C1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rPr>
        <w:t>乙方法人代表</w:t>
      </w:r>
      <w:r>
        <w:rPr>
          <w:rFonts w:hint="eastAsia" w:ascii="仿宋" w:hAnsi="仿宋" w:eastAsia="仿宋" w:cs="仿宋"/>
          <w:bCs/>
          <w:sz w:val="24"/>
          <w:szCs w:val="24"/>
          <w:highlight w:val="none"/>
          <w:lang w:eastAsia="zh-CN"/>
        </w:rPr>
        <w:t>（）面签或私章</w:t>
      </w:r>
      <w:r>
        <w:rPr>
          <w:rFonts w:hint="eastAsia" w:ascii="仿宋" w:hAnsi="仿宋" w:eastAsia="仿宋" w:cs="仿宋"/>
          <w:bCs/>
          <w:sz w:val="24"/>
          <w:szCs w:val="24"/>
          <w:highlight w:val="none"/>
        </w:rPr>
        <w:t>：</w:t>
      </w:r>
    </w:p>
    <w:p w14:paraId="07A8CAF3">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联系方式（含单位）：</w:t>
      </w:r>
    </w:p>
    <w:p w14:paraId="40D63F7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eastAsia="zh-CN"/>
        </w:rPr>
        <w:t>邮箱号：</w:t>
      </w:r>
      <w:permStart w:id="24" w:edGrp="everyone"/>
      <w:r>
        <w:rPr>
          <w:rFonts w:hint="eastAsia" w:ascii="仿宋" w:hAnsi="仿宋" w:eastAsia="仿宋" w:cs="仿宋"/>
          <w:bCs/>
          <w:sz w:val="24"/>
          <w:szCs w:val="24"/>
          <w:highlight w:val="none"/>
          <w:lang w:val="en-US" w:eastAsia="zh-CN"/>
        </w:rPr>
        <w:t>/</w:t>
      </w:r>
      <w:permEnd w:id="24"/>
    </w:p>
    <w:p w14:paraId="7A482C40">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p>
    <w:p w14:paraId="057EB50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乙方</w:t>
      </w:r>
      <w:r>
        <w:rPr>
          <w:rFonts w:hint="eastAsia" w:ascii="仿宋" w:hAnsi="仿宋" w:eastAsia="仿宋" w:cs="仿宋"/>
          <w:bCs/>
          <w:sz w:val="24"/>
          <w:szCs w:val="24"/>
          <w:highlight w:val="none"/>
          <w:lang w:eastAsia="zh-CN"/>
        </w:rPr>
        <w:t>经办人（</w:t>
      </w:r>
      <w:r>
        <w:rPr>
          <w:rFonts w:hint="eastAsia" w:ascii="仿宋" w:hAnsi="仿宋" w:eastAsia="仿宋" w:cs="仿宋"/>
          <w:bCs/>
          <w:sz w:val="24"/>
          <w:szCs w:val="24"/>
          <w:highlight w:val="none"/>
          <w:lang w:val="en-US" w:eastAsia="zh-CN"/>
        </w:rPr>
        <w:t>如有</w:t>
      </w:r>
      <w:r>
        <w:rPr>
          <w:rFonts w:hint="eastAsia" w:ascii="仿宋" w:hAnsi="仿宋" w:eastAsia="仿宋" w:cs="仿宋"/>
          <w:bCs/>
          <w:sz w:val="24"/>
          <w:szCs w:val="24"/>
          <w:highlight w:val="none"/>
          <w:lang w:eastAsia="zh-CN"/>
        </w:rPr>
        <w:t>）（</w:t>
      </w:r>
      <w:permStart w:id="25" w:edGrp="everyone"/>
      <w:r>
        <w:rPr>
          <w:rFonts w:hint="eastAsia" w:ascii="仿宋" w:hAnsi="仿宋" w:eastAsia="仿宋" w:cs="仿宋"/>
          <w:bCs/>
          <w:sz w:val="24"/>
          <w:szCs w:val="24"/>
          <w:highlight w:val="none"/>
          <w:lang w:val="en-US" w:eastAsia="zh-CN"/>
        </w:rPr>
        <w:t>/</w:t>
      </w:r>
      <w:permEnd w:id="25"/>
      <w:r>
        <w:rPr>
          <w:rFonts w:hint="eastAsia" w:ascii="仿宋" w:hAnsi="仿宋" w:eastAsia="仿宋" w:cs="仿宋"/>
          <w:bCs/>
          <w:sz w:val="24"/>
          <w:szCs w:val="24"/>
          <w:highlight w:val="none"/>
          <w:lang w:eastAsia="zh-CN"/>
        </w:rPr>
        <w:t>）面签</w:t>
      </w:r>
      <w:r>
        <w:rPr>
          <w:rFonts w:hint="eastAsia" w:ascii="仿宋" w:hAnsi="仿宋" w:eastAsia="仿宋" w:cs="仿宋"/>
          <w:bCs/>
          <w:sz w:val="24"/>
          <w:szCs w:val="24"/>
          <w:highlight w:val="none"/>
        </w:rPr>
        <w:t>：</w:t>
      </w:r>
    </w:p>
    <w:p w14:paraId="516D7FDC">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eastAsia="zh-CN"/>
        </w:rPr>
        <w:t>联系方式：</w:t>
      </w:r>
      <w:permStart w:id="26" w:edGrp="everyone"/>
      <w:r>
        <w:rPr>
          <w:rFonts w:hint="eastAsia" w:ascii="仿宋" w:hAnsi="仿宋" w:eastAsia="仿宋" w:cs="仿宋"/>
          <w:bCs/>
          <w:sz w:val="24"/>
          <w:szCs w:val="24"/>
          <w:highlight w:val="none"/>
          <w:lang w:val="en-US" w:eastAsia="zh-CN"/>
        </w:rPr>
        <w:t>/</w:t>
      </w:r>
    </w:p>
    <w:p w14:paraId="75A6E20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p>
    <w:p w14:paraId="6A761E9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p>
    <w:p w14:paraId="311B40E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p>
    <w:p w14:paraId="675654A6">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p>
    <w:p w14:paraId="5DFFF1ED">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p>
    <w:p w14:paraId="6D74627E">
      <w:pPr>
        <w:keepNext w:val="0"/>
        <w:keepLines w:val="0"/>
        <w:pageBreakBefore w:val="0"/>
        <w:widowControl w:val="0"/>
        <w:shd w:val="clea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shd w:val="clear" w:color="auto"/>
          <w:lang w:val="en-US" w:eastAsia="zh-CN"/>
        </w:rPr>
        <w:t>附件：乙方相关资质</w:t>
      </w:r>
    </w:p>
    <w:p w14:paraId="1C1089C6">
      <w:pPr>
        <w:keepNext w:val="0"/>
        <w:keepLines w:val="0"/>
        <w:pageBreakBefore w:val="0"/>
        <w:widowControl w:val="0"/>
        <w:shd w:val="clear"/>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z w:val="32"/>
          <w:szCs w:val="32"/>
          <w:highlight w:val="none"/>
          <w:lang w:val="en-US" w:eastAsia="zh-CN"/>
        </w:rPr>
      </w:pPr>
    </w:p>
    <w:p w14:paraId="2D7B077D">
      <w:pPr>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sz w:val="28"/>
          <w:szCs w:val="28"/>
          <w:u w:val="single"/>
          <w:lang w:eastAsia="zh-CN"/>
        </w:rPr>
      </w:pPr>
    </w:p>
    <w:p w14:paraId="04A15D0F">
      <w:pPr>
        <w:rPr>
          <w:rFonts w:hint="eastAsia" w:ascii="仿宋" w:hAnsi="仿宋" w:eastAsia="仿宋" w:cs="仿宋"/>
          <w:highlight w:val="none"/>
          <w:lang w:val="en-US" w:eastAsia="zh-CN"/>
        </w:rPr>
      </w:pPr>
      <w:r>
        <w:rPr>
          <w:rFonts w:hint="eastAsia" w:ascii="仿宋" w:hAnsi="仿宋" w:eastAsia="仿宋" w:cs="仿宋"/>
          <w:highlight w:val="none"/>
          <w:lang w:val="en-US" w:eastAsia="zh-CN"/>
        </w:rPr>
        <w:br w:type="page"/>
      </w:r>
    </w:p>
    <w:permEnd w:id="26"/>
    <w:p w14:paraId="2F645A0B">
      <w:pPr>
        <w:wordWrap w:val="0"/>
        <w:spacing w:line="360" w:lineRule="auto"/>
        <w:jc w:val="center"/>
        <w:rPr>
          <w:rFonts w:hint="eastAsia" w:ascii="仿宋" w:hAnsi="仿宋" w:eastAsia="仿宋" w:cs="仿宋"/>
          <w:b/>
          <w:sz w:val="28"/>
          <w:szCs w:val="28"/>
        </w:rPr>
      </w:pPr>
      <w:r>
        <w:rPr>
          <w:rFonts w:hint="eastAsia" w:ascii="仿宋" w:hAnsi="仿宋" w:eastAsia="仿宋" w:cs="仿宋"/>
          <w:b/>
          <w:sz w:val="28"/>
          <w:szCs w:val="28"/>
        </w:rPr>
        <w:t>安全生产目标管理责任书</w:t>
      </w:r>
    </w:p>
    <w:p w14:paraId="5CA7BE2D">
      <w:pPr>
        <w:widowControl/>
        <w:wordWrap w:val="0"/>
        <w:spacing w:line="360" w:lineRule="auto"/>
        <w:ind w:firstLine="480" w:firstLineChars="200"/>
        <w:rPr>
          <w:rFonts w:hint="eastAsia" w:ascii="仿宋" w:hAnsi="仿宋" w:eastAsia="仿宋" w:cs="仿宋"/>
          <w:sz w:val="24"/>
          <w:szCs w:val="24"/>
        </w:rPr>
      </w:pPr>
    </w:p>
    <w:p w14:paraId="242CD4E0">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为认真贯彻“安全第一，预防为主,综合治理”的安全生产工作方针，全面落实国家2021年09月1日起实施的新《安全生产法》有关“人民至上、生命至上”以人为本的指导思想，做到施工安全管理工作的标准化和规范化，确保建设工程项目安全、优质、按期完成，同时为进一步明确有关各方的安全职责，进一步提高甲方建设工程施工安全管理的整体水平，杜绝重大伤亡事故的发生，保障各方参与人员人身安全、保障甲方声誉，根据《中华人民共和国建筑法》、《建设工程安全生产管理条例》、《自治区建设工程安全文明施工管理规定》等有关国家、省、市法令法规，特制定本建设工程安全生产责任书。</w:t>
      </w:r>
    </w:p>
    <w:p w14:paraId="21D3E16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u w:val="single"/>
          <w:lang w:eastAsia="zh-CN"/>
        </w:rPr>
        <w:t>沁园春锦营销中心商业氛围包装广告制作及安装</w:t>
      </w:r>
      <w:r>
        <w:rPr>
          <w:rFonts w:hint="eastAsia" w:ascii="仿宋" w:hAnsi="仿宋" w:eastAsia="仿宋" w:cs="仿宋"/>
          <w:sz w:val="24"/>
          <w:szCs w:val="24"/>
        </w:rPr>
        <w:t>乙方必须与甲方签订安全生产目标管理责任书作为施工安全管理的指导与检查执行依据。</w:t>
      </w:r>
    </w:p>
    <w:p w14:paraId="73CBE0DE">
      <w:pPr>
        <w:widowControl/>
        <w:wordWrap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一、安全生产管理目标</w:t>
      </w:r>
    </w:p>
    <w:p w14:paraId="535AE7CC">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认真贯彻执行国家、自治区和（地州）的安全生产方针、政策及法规。乙方施工现场必须严格按《中华人民共和国安全生产法》、《公路水运工程安全生产监督管理办法》、《建筑施工企业安全生产管理机构设置及专职安全生产管理人员配备办法》等规定，配备专职安全管理人员。乙方按照《企业安全生产责任体系五落实五到位规定》要求，依法设立安全生产管理机构，配备专职安全生产管理人员不少于1人。</w:t>
      </w:r>
    </w:p>
    <w:p w14:paraId="675C429D">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乙方依据《建筑施工安全检查标准》（JGJ59-2011）要求，每月定期开展安全生产标准化自评工作，乙方应当每季度对在施项目安全生产标准化工作进行监督检查，并形成季度检查表。乙方积极创建自治区、市级“安全文明标准化工地”。</w:t>
      </w:r>
    </w:p>
    <w:p w14:paraId="5E07347B">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乙方项目经理依法对所施工的工程安全生产工作全面负责，是安全生产第一责任人。乙方应建立健全安全生产责任制度和安全教育培训制度，制定安全生产规章制度和操作规程，保证安全生产条件所需资金的投入，对所承担的建设工程进行定期和专项安全检查。</w:t>
      </w:r>
    </w:p>
    <w:p w14:paraId="3D62F822">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3.1保证必要的安全生产资金投入（按施工产值的1.5％投入），按规定为作业人员配备合格的施工安全防护用品，保证施工现场安全设施、防护用品的正常、有效使用，对重点和危险性较大的场所、部位，按规定做好防护并设立警示标志。</w:t>
      </w:r>
    </w:p>
    <w:p w14:paraId="367BF3F4">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3.2根据《建设工程管理条例》规定，应建立健全教育培训制度、加强对施工人员的教育培训，未经教育培训且考核不合格的人员，不得上岗。根据《安全生产法》的规定，制定本单位安全教育培训计划，本单位的主要负责人和分管生产、安全的负责人经过安全专业培训，考核合格，并取得相关证照；安全生产管理人员、特种作业人员经培训考试合格，取得证书，持证上岗。</w:t>
      </w:r>
    </w:p>
    <w:p w14:paraId="4C2FF6CF">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3.3应针对危险性较大的施工工程（如深基坑、高处作业、临时用电、交通运输、高大模板安装及拆除、吊装等施工），制订专项安全施工方案、防护措施和应急救援预案，并予以落实；完善安全生产救援指挥系统和制度，建立专（兼)职救援队伍，配备必要的救援器材，年度内至少开展1次应急救援演练，以保证应急预案的正常和有效实施。</w:t>
      </w:r>
    </w:p>
    <w:p w14:paraId="3340CDA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4.施工现场起重设备报检率达到100%，施工现场各类机械、机电设备完好率达到100%，脚手架及高处防护作用工程、施工用电、施工机械及物料运输提升设施验收合格率达到100%。</w:t>
      </w:r>
    </w:p>
    <w:p w14:paraId="13297E40">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5.积极组织开展从业人员入场三级安全教育培训及考核工作。</w:t>
      </w:r>
      <w:r>
        <w:rPr>
          <w:rFonts w:hint="eastAsia" w:ascii="仿宋" w:hAnsi="仿宋" w:eastAsia="仿宋" w:cs="仿宋"/>
          <w:b/>
          <w:bCs/>
          <w:sz w:val="24"/>
          <w:szCs w:val="24"/>
        </w:rPr>
        <w:t>由技术负责人组织按照不同工种，分部分项开展针对性的安全技术交底工作。</w:t>
      </w:r>
      <w:r>
        <w:rPr>
          <w:rFonts w:hint="eastAsia" w:ascii="仿宋" w:hAnsi="仿宋" w:eastAsia="仿宋" w:cs="仿宋"/>
          <w:sz w:val="24"/>
          <w:szCs w:val="24"/>
        </w:rPr>
        <w:t>强化安全生产宣传教育培训。开展法律法规学习培训，认真组织开展安全生产月、119消防宣传日、职业病防治法宣传周、122交通安全日等安全生产宣传教育活动。开展企业班组建设，完成班组建设目标、任务。</w:t>
      </w:r>
    </w:p>
    <w:p w14:paraId="7EB76152">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制定从业人员培训计划，落实培训经费，深化从业人员三级安全教育，从业人员三级安全教育、特种工人持证上岗、施工管理人员安全培训率等均须达到100%。</w:t>
      </w:r>
    </w:p>
    <w:p w14:paraId="0D14AAC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6.乙方对列入建设工程概算的安全作业环境及安全措施所需费用，应用于施工安全中，不得挪作他用。</w:t>
      </w:r>
    </w:p>
    <w:p w14:paraId="687D9E88">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建立隐患排查治理体系。健全和落实隐患排查治理制度，重大隐患要及时上报所在地安全监管监察部门和行业主管部门备案，通报可能影响到的周边单位和人员。严格执行安全设施“三同时”的管理法规。开展经常性安全检查。</w:t>
      </w:r>
    </w:p>
    <w:p w14:paraId="62C97AEA">
      <w:pPr>
        <w:widowControl/>
        <w:wordWrap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7.1乙方对施工现场每月组织一次安全大检查。</w:t>
      </w:r>
    </w:p>
    <w:p w14:paraId="547DA74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7.2施工现场每两月组织2次由乙方项目经理组织的安全检查。</w:t>
      </w:r>
    </w:p>
    <w:p w14:paraId="61CBA2A7">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7.3每周至少进行一次安全检查，对检查出的隐患，按照“四定”（定人、定时、定措施、定整改验收人）原则督促落实，并将检查、整改情况影像资料留存。及时纠正和查处生产过程中的违章、违纪行为，落实安全奖罚制度。</w:t>
      </w:r>
    </w:p>
    <w:p w14:paraId="5A610599">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8.施工现场各级职能人员岗位责任制、目标责任书执行率达到100%。</w:t>
      </w:r>
    </w:p>
    <w:p w14:paraId="52A45674">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9.乙方做好应急救援和事故报告、调查处理工作。实现目标管理，加大施工现场事故隐患治理力度，坚决遏制重特大安全事故发生，杜绝死亡事故的发生。如发生安全事故应立即上报甲方。</w:t>
      </w:r>
    </w:p>
    <w:p w14:paraId="3712C837">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10.工程开工前15日内办理工程开工备案手续，将单位工程人员组织（含岗位人员名册）、安全文明施工投入、施工现场总平面图等信息准确填写，经甲方总工程师批准后方可施工，报甲方工程部备案；同时与建设单位、监理单位做好安全评估，签订防护用品费用预约。未办理安全报监的，不得开工。（含岗位人员花名册）一并上报甲方</w:t>
      </w:r>
    </w:p>
    <w:p w14:paraId="680BD79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工程部安全科备案。</w:t>
      </w:r>
    </w:p>
    <w:p w14:paraId="7D8B13C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11.为减轻乙方因施工发生工程质量事故需要赔偿、人员伤亡需要支付费用及经济赔偿等压力，要求乙方在开工之前必须购买工程质量险、施工人员人身意外伤害险、工伤保险等，且人身意外伤害险伤亡保额不得低于120万元，相关保险单扫描件或复印件报甲方备案。</w:t>
      </w:r>
    </w:p>
    <w:p w14:paraId="57F56C7A">
      <w:pPr>
        <w:wordWrap w:val="0"/>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本工程如发生人员伤、亡事故，乙方须及时上报甲方，并及时妥善处理好事故相关费用的支付及赔偿事宜。乙方如未及时购买相关保险又未妥善处理好事故赔偿的，甲方有权从乙方工程款中直接扣留事故所需相关费用，直到事故完全处理完毕时止。并对乙方按照甲方相关管理规定予以处罚。如乙方工程款不足以支付事故费用及赔偿额度的，甲方有权向乙方另行追偿差额部分。</w:t>
      </w:r>
    </w:p>
    <w:p w14:paraId="7F6F802A">
      <w:pPr>
        <w:wordWrap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二、安全防控考核目标：</w:t>
      </w:r>
    </w:p>
    <w:p w14:paraId="4675048C">
      <w:pPr>
        <w:wordWrap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1、杜绝重大、一般伤亡事故发生（包括中毒、消防）。</w:t>
      </w:r>
    </w:p>
    <w:p w14:paraId="3179C14C">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2、在统计范围内,全年死亡事故起数、死亡人数（包括外用工）为“零”；重伤事故起数、重伤人数（包括外用工）为“零”；轻伤事故频率控制在员工总数的3‰以内；</w:t>
      </w:r>
    </w:p>
    <w:p w14:paraId="72E9EFCF">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3、在统计范围内，无职业病发生；</w:t>
      </w:r>
    </w:p>
    <w:p w14:paraId="6F907EB6">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4、在统计范围内无中毒、群发性中暑及传染病事故；</w:t>
      </w:r>
    </w:p>
    <w:p w14:paraId="2DC84A8F">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5、在统计范围内，无环境污染以及生态破坏等事故发生；</w:t>
      </w:r>
    </w:p>
    <w:p w14:paraId="76E5B928">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6、年度内本单位无重大火灾事故发生，施工现场无较大火灾事故隐患；</w:t>
      </w:r>
    </w:p>
    <w:p w14:paraId="3E39904F">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7、一般火灾事故无人员伤亡和财产损失不超过5000元(大写：伍仟元整)；</w:t>
      </w:r>
    </w:p>
    <w:p w14:paraId="23FD861A">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8、本单位区域内的道路交通事故死亡人数为零。</w:t>
      </w:r>
    </w:p>
    <w:p w14:paraId="03F7009E">
      <w:pPr>
        <w:widowControl/>
        <w:wordWrap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三、考核标准及奖惩</w:t>
      </w:r>
    </w:p>
    <w:p w14:paraId="57F5F67B">
      <w:pPr>
        <w:widowControl/>
        <w:wordWrap w:val="0"/>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（一）考核期限：</w:t>
      </w:r>
      <w:r>
        <w:rPr>
          <w:rFonts w:hint="eastAsia" w:ascii="仿宋" w:hAnsi="仿宋" w:eastAsia="仿宋"/>
          <w:color w:val="000000"/>
          <w:sz w:val="24"/>
          <w:szCs w:val="24"/>
        </w:rPr>
        <w:t>2021年06月01日</w:t>
      </w:r>
      <w:r>
        <w:rPr>
          <w:rFonts w:hint="eastAsia" w:ascii="仿宋" w:hAnsi="仿宋" w:eastAsia="仿宋" w:cs="仿宋"/>
          <w:sz w:val="24"/>
          <w:szCs w:val="24"/>
        </w:rPr>
        <w:t>至建设方合同约定的质保期到期时止。（期间如遇国家、行业或甲方等有关安全条例、规定发生修订的，执行时以最新要求为准）</w:t>
      </w:r>
    </w:p>
    <w:p w14:paraId="30D36154">
      <w:pPr>
        <w:widowControl/>
        <w:wordWrap w:val="0"/>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（二）评分标准（总分1000分）</w:t>
      </w:r>
    </w:p>
    <w:p w14:paraId="299AFA30">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1.先进单位：安全生产目标管理综合评分在950分以上，为安全生产先进单位（两名），各奖励2000元。</w:t>
      </w:r>
    </w:p>
    <w:p w14:paraId="32CD9001">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2.合格单位：安全生产目标管理综合评分在850—950分，为安全生产合格单位。</w:t>
      </w:r>
    </w:p>
    <w:p w14:paraId="67603C3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3.不合格单位：安全生产目标管理综合评分在850分以下，为安全生产不合格单位（两名），各罚款4000元。</w:t>
      </w:r>
    </w:p>
    <w:p w14:paraId="4C852EA6">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4.安全生产事故超过控制指标的；发生一次经济损失超过30万元火灾事故的；隐瞒事故的；被自治区建设行政主管部门暂扣安全生产许可证的，均为不合格单位。</w:t>
      </w:r>
    </w:p>
    <w:p w14:paraId="17F0CF31">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5、发生重伤以上安全事故，由乙方对伤害人进行经济补偿，并给予乙方总经理和项目经理各3000-10000元罚款，情况严重的由有关部门追究其责任。</w:t>
      </w:r>
    </w:p>
    <w:p w14:paraId="6943879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6、造成直接经济损失大于10万元小于50万元者，对乙方项目经理罚款20000-100000元，直接经济损失在50-100万元之间者，按甲方相关制度执行。</w:t>
      </w:r>
    </w:p>
    <w:p w14:paraId="0F6351B1">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7、发生伤、亡事故不及时报告的，对乙方总经理和项目经理罚款5000元，隐瞒事故不报或阻碍调查的，各罚款20000元。</w:t>
      </w:r>
    </w:p>
    <w:p w14:paraId="2C7E1A75">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8、具体施工按甲方管理制度和甲方工程部制定的质量、安全管理细则执行。</w:t>
      </w:r>
    </w:p>
    <w:p w14:paraId="1D2C64C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9、全年无事故，事故隐患整改率达到100%的项目，对取得自治区、市安全文明工地的项目，按照甲方奖励办法进行奖励。未完成安全指标的将参照奖励办法的两倍予以处罚。</w:t>
      </w:r>
    </w:p>
    <w:p w14:paraId="2CDF34D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10、在生产经营中，发生其它严重的安全生产事故或对社会影响恶劣的事件，按照国家有关规定进行处理。</w:t>
      </w:r>
    </w:p>
    <w:p w14:paraId="05D5390C">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11、发生事故的乙方单位和项目在年度评优、评先方面严格落实“一票否决”制。</w:t>
      </w:r>
    </w:p>
    <w:p w14:paraId="32E6D27D">
      <w:pPr>
        <w:wordWrap w:val="0"/>
        <w:spacing w:line="360" w:lineRule="auto"/>
        <w:ind w:firstLine="482" w:firstLineChars="200"/>
        <w:rPr>
          <w:rFonts w:hint="eastAsia" w:ascii="仿宋" w:hAnsi="仿宋" w:eastAsia="仿宋" w:cs="仿宋"/>
          <w:sz w:val="24"/>
          <w:szCs w:val="24"/>
          <w:lang w:eastAsia="zh-CN"/>
        </w:rPr>
      </w:pPr>
      <w:r>
        <w:rPr>
          <w:rFonts w:hint="eastAsia" w:ascii="仿宋" w:hAnsi="仿宋" w:eastAsia="仿宋" w:cs="仿宋"/>
          <w:b/>
          <w:sz w:val="24"/>
          <w:szCs w:val="24"/>
        </w:rPr>
        <w:t>四、其它</w:t>
      </w:r>
    </w:p>
    <w:p w14:paraId="156588F4">
      <w:pPr>
        <w:wordWrap w:val="0"/>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本安全生产目标管理责任书于乙方进场前双方签订</w:t>
      </w:r>
      <w:r>
        <w:rPr>
          <w:rFonts w:hint="eastAsia" w:ascii="仿宋" w:hAnsi="仿宋" w:eastAsia="仿宋" w:cs="仿宋"/>
          <w:sz w:val="24"/>
          <w:szCs w:val="24"/>
        </w:rPr>
        <w:t>。一式4份，甲方3份，乙方1份，均妥为保存以备各方核查。</w:t>
      </w:r>
    </w:p>
    <w:p w14:paraId="09FF507E">
      <w:pPr>
        <w:widowControl/>
        <w:wordWrap w:val="0"/>
        <w:spacing w:line="360" w:lineRule="auto"/>
        <w:ind w:firstLine="480" w:firstLineChars="200"/>
        <w:rPr>
          <w:rFonts w:hint="eastAsia" w:ascii="仿宋" w:hAnsi="仿宋" w:eastAsia="仿宋" w:cs="仿宋"/>
          <w:sz w:val="24"/>
          <w:szCs w:val="24"/>
        </w:rPr>
      </w:pPr>
    </w:p>
    <w:p w14:paraId="48DFCC62">
      <w:pPr>
        <w:widowControl/>
        <w:wordWrap w:val="0"/>
        <w:spacing w:line="360" w:lineRule="auto"/>
        <w:ind w:firstLine="480" w:firstLineChars="200"/>
        <w:rPr>
          <w:rFonts w:hint="default" w:ascii="仿宋" w:hAnsi="仿宋" w:eastAsia="仿宋" w:cs="仿宋"/>
          <w:bCs/>
          <w:sz w:val="24"/>
          <w:szCs w:val="24"/>
          <w:u w:val="single"/>
          <w:lang w:val="en-US" w:eastAsia="zh-CN"/>
        </w:rPr>
      </w:pPr>
      <w:r>
        <w:rPr>
          <w:rFonts w:hint="eastAsia" w:ascii="仿宋" w:hAnsi="仿宋" w:eastAsia="仿宋" w:cs="仿宋"/>
          <w:sz w:val="24"/>
          <w:szCs w:val="24"/>
        </w:rPr>
        <w:t>工程地点：</w:t>
      </w:r>
      <w:r>
        <w:rPr>
          <w:rFonts w:hint="eastAsia" w:ascii="仿宋" w:hAnsi="仿宋" w:eastAsia="仿宋" w:cs="仿宋"/>
          <w:sz w:val="24"/>
          <w:szCs w:val="24"/>
          <w:lang w:val="en-US" w:eastAsia="zh-CN"/>
        </w:rPr>
        <w:t>库尔勒市</w:t>
      </w:r>
    </w:p>
    <w:p w14:paraId="7844021D">
      <w:pPr>
        <w:widowControl/>
        <w:wordWrap w:val="0"/>
        <w:spacing w:line="360" w:lineRule="auto"/>
        <w:ind w:firstLine="480" w:firstLineChars="200"/>
        <w:rPr>
          <w:rFonts w:hint="eastAsia" w:ascii="仿宋" w:hAnsi="仿宋" w:eastAsia="仿宋" w:cs="仿宋"/>
          <w:sz w:val="24"/>
          <w:szCs w:val="24"/>
        </w:rPr>
      </w:pPr>
    </w:p>
    <w:p w14:paraId="0F9F2D46">
      <w:pPr>
        <w:widowControl/>
        <w:wordWrap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甲方（总包方）：新疆通力房地产开发有限公司库尔勒分公司</w:t>
      </w:r>
    </w:p>
    <w:p w14:paraId="5D8C7C9E">
      <w:pPr>
        <w:widowControl/>
        <w:wordWrap w:val="0"/>
        <w:spacing w:line="360" w:lineRule="auto"/>
        <w:ind w:firstLine="480" w:firstLineChars="200"/>
        <w:rPr>
          <w:rFonts w:hint="default" w:ascii="仿宋" w:hAnsi="仿宋" w:eastAsia="仿宋" w:cs="仿宋"/>
          <w:sz w:val="24"/>
          <w:szCs w:val="24"/>
          <w:lang w:val="en-US"/>
        </w:rPr>
      </w:pPr>
      <w:r>
        <w:rPr>
          <w:rFonts w:hint="eastAsia" w:ascii="仿宋" w:hAnsi="仿宋" w:eastAsia="仿宋" w:cs="仿宋"/>
          <w:sz w:val="24"/>
          <w:szCs w:val="24"/>
        </w:rPr>
        <w:t>甲方项目负责人（</w:t>
      </w:r>
      <w:r>
        <w:rPr>
          <w:rFonts w:hint="eastAsia" w:ascii="仿宋" w:hAnsi="仿宋" w:eastAsia="仿宋" w:cs="仿宋"/>
          <w:sz w:val="24"/>
          <w:szCs w:val="24"/>
          <w:lang w:val="en-US" w:eastAsia="zh-CN"/>
        </w:rPr>
        <w:t>卢婷婷</w:t>
      </w:r>
      <w:r>
        <w:rPr>
          <w:rFonts w:hint="eastAsia" w:ascii="仿宋" w:hAnsi="仿宋" w:eastAsia="仿宋" w:cs="仿宋"/>
          <w:sz w:val="24"/>
          <w:szCs w:val="24"/>
        </w:rPr>
        <w:t>）签字：            手机：</w:t>
      </w:r>
      <w:r>
        <w:rPr>
          <w:rFonts w:hint="eastAsia" w:ascii="仿宋" w:hAnsi="仿宋" w:eastAsia="仿宋" w:cs="仿宋"/>
          <w:sz w:val="24"/>
          <w:szCs w:val="24"/>
          <w:lang w:val="en-US" w:eastAsia="zh-CN"/>
        </w:rPr>
        <w:t>13199840890</w:t>
      </w:r>
    </w:p>
    <w:p w14:paraId="332C2D9A">
      <w:pPr>
        <w:widowControl/>
        <w:wordWrap w:val="0"/>
        <w:spacing w:line="360" w:lineRule="auto"/>
        <w:ind w:firstLine="480" w:firstLineChars="200"/>
        <w:rPr>
          <w:rFonts w:hint="eastAsia" w:ascii="仿宋" w:hAnsi="仿宋" w:eastAsia="仿宋" w:cs="仿宋"/>
          <w:sz w:val="24"/>
          <w:szCs w:val="24"/>
        </w:rPr>
      </w:pPr>
    </w:p>
    <w:p w14:paraId="62B688A9">
      <w:pPr>
        <w:widowControl/>
        <w:wordWrap w:val="0"/>
        <w:spacing w:line="360" w:lineRule="auto"/>
        <w:ind w:firstLine="480" w:firstLineChars="200"/>
        <w:rPr>
          <w:rFonts w:hint="eastAsia" w:ascii="仿宋" w:hAnsi="仿宋" w:eastAsia="仿宋" w:cs="仿宋"/>
          <w:sz w:val="24"/>
          <w:szCs w:val="24"/>
        </w:rPr>
      </w:pPr>
    </w:p>
    <w:p w14:paraId="00666119">
      <w:pPr>
        <w:wordWrap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乙方单位（盖章）：                       座机电话：</w:t>
      </w:r>
      <w:r>
        <w:rPr>
          <w:rFonts w:hint="eastAsia" w:ascii="仿宋" w:hAnsi="仿宋" w:eastAsia="仿宋"/>
          <w:color w:val="000000"/>
          <w:sz w:val="24"/>
          <w:szCs w:val="24"/>
          <w:lang w:val="en-US" w:eastAsia="zh-CN"/>
        </w:rPr>
        <w:t xml:space="preserve">       </w:t>
      </w:r>
    </w:p>
    <w:p w14:paraId="624CA940">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w:t>
      </w:r>
    </w:p>
    <w:p w14:paraId="6A319428">
      <w:pPr>
        <w:wordWrap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乙方法定代表人</w:t>
      </w:r>
      <w:r>
        <w:rPr>
          <w:rFonts w:hint="eastAsia" w:ascii="仿宋" w:hAnsi="仿宋" w:eastAsia="仿宋" w:cs="仿宋"/>
          <w:bCs/>
          <w:sz w:val="24"/>
          <w:szCs w:val="24"/>
        </w:rPr>
        <w:t>（）</w:t>
      </w:r>
      <w:r>
        <w:rPr>
          <w:rFonts w:hint="eastAsia" w:ascii="仿宋" w:hAnsi="仿宋" w:eastAsia="仿宋" w:cs="仿宋"/>
          <w:sz w:val="24"/>
          <w:szCs w:val="24"/>
        </w:rPr>
        <w:t>签字：            手机：</w:t>
      </w:r>
    </w:p>
    <w:p w14:paraId="499F7DF2">
      <w:pPr>
        <w:wordWrap w:val="0"/>
        <w:spacing w:line="360" w:lineRule="auto"/>
        <w:ind w:firstLine="480" w:firstLineChars="200"/>
        <w:rPr>
          <w:rFonts w:hint="eastAsia" w:ascii="仿宋" w:hAnsi="仿宋" w:eastAsia="仿宋" w:cs="仿宋"/>
          <w:sz w:val="24"/>
          <w:szCs w:val="24"/>
        </w:rPr>
      </w:pPr>
    </w:p>
    <w:p w14:paraId="2EB2F6B1">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乙方项目负责人</w:t>
      </w:r>
      <w:r>
        <w:rPr>
          <w:rFonts w:hint="eastAsia" w:ascii="仿宋" w:hAnsi="仿宋" w:eastAsia="仿宋" w:cs="仿宋"/>
          <w:bCs/>
          <w:sz w:val="24"/>
          <w:szCs w:val="24"/>
        </w:rPr>
        <w:t>（）</w:t>
      </w:r>
      <w:r>
        <w:rPr>
          <w:rFonts w:hint="eastAsia" w:ascii="仿宋" w:hAnsi="仿宋" w:eastAsia="仿宋" w:cs="仿宋"/>
          <w:sz w:val="24"/>
          <w:szCs w:val="24"/>
        </w:rPr>
        <w:t xml:space="preserve">签字：          手机：  </w:t>
      </w:r>
    </w:p>
    <w:p w14:paraId="3E189BBD">
      <w:pPr>
        <w:wordWrap w:val="0"/>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 xml:space="preserve">                                                  </w:t>
      </w:r>
    </w:p>
    <w:p w14:paraId="43C339F4">
      <w:pPr>
        <w:widowControl/>
        <w:wordWrap w:val="0"/>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签订时间：</w:t>
      </w:r>
      <w:permStart w:id="27" w:edGrp="everyone"/>
      <w:r>
        <w:rPr>
          <w:rFonts w:hint="eastAsia" w:ascii="仿宋" w:hAnsi="仿宋" w:eastAsia="仿宋" w:cs="仿宋"/>
          <w:b/>
          <w:sz w:val="24"/>
          <w:szCs w:val="24"/>
        </w:rPr>
        <w:t>202</w:t>
      </w:r>
      <w:r>
        <w:rPr>
          <w:rFonts w:hint="eastAsia" w:ascii="仿宋" w:hAnsi="仿宋" w:eastAsia="仿宋" w:cs="仿宋"/>
          <w:b/>
          <w:sz w:val="24"/>
          <w:szCs w:val="24"/>
          <w:lang w:val="en-US" w:eastAsia="zh-CN"/>
        </w:rPr>
        <w:t>5</w:t>
      </w:r>
      <w:r>
        <w:rPr>
          <w:rFonts w:hint="eastAsia" w:ascii="仿宋" w:hAnsi="仿宋" w:eastAsia="仿宋" w:cs="仿宋"/>
          <w:b/>
          <w:sz w:val="24"/>
          <w:szCs w:val="24"/>
        </w:rPr>
        <w:t>年</w:t>
      </w:r>
      <w:r>
        <w:rPr>
          <w:rFonts w:hint="eastAsia" w:ascii="仿宋" w:hAnsi="仿宋" w:eastAsia="仿宋" w:cs="仿宋"/>
          <w:b/>
          <w:sz w:val="24"/>
          <w:szCs w:val="24"/>
          <w:lang w:val="en-US" w:eastAsia="zh-CN"/>
        </w:rPr>
        <w:t>4</w:t>
      </w:r>
      <w:r>
        <w:rPr>
          <w:rFonts w:hint="eastAsia" w:ascii="仿宋" w:hAnsi="仿宋" w:eastAsia="仿宋" w:cs="仿宋"/>
          <w:b/>
          <w:sz w:val="24"/>
          <w:szCs w:val="24"/>
        </w:rPr>
        <w:t>月</w:t>
      </w:r>
      <w:r>
        <w:rPr>
          <w:rFonts w:hint="eastAsia" w:ascii="仿宋" w:hAnsi="仿宋" w:eastAsia="仿宋" w:cs="仿宋"/>
          <w:b/>
          <w:sz w:val="24"/>
          <w:szCs w:val="24"/>
          <w:lang w:val="en-US" w:eastAsia="zh-CN"/>
        </w:rPr>
        <w:t>2</w:t>
      </w:r>
      <w:r>
        <w:rPr>
          <w:rFonts w:hint="eastAsia" w:ascii="仿宋" w:hAnsi="仿宋" w:eastAsia="仿宋" w:cs="仿宋"/>
          <w:b/>
          <w:sz w:val="24"/>
          <w:szCs w:val="24"/>
        </w:rPr>
        <w:t>日</w:t>
      </w:r>
      <w:permEnd w:id="27"/>
    </w:p>
    <w:p w14:paraId="75EDEDB0">
      <w:pPr>
        <w:wordWrap w:val="0"/>
        <w:spacing w:line="360" w:lineRule="auto"/>
        <w:jc w:val="center"/>
        <w:rPr>
          <w:rFonts w:hint="eastAsia" w:ascii="仿宋" w:hAnsi="仿宋" w:eastAsia="仿宋" w:cs="仿宋"/>
          <w:b/>
          <w:sz w:val="28"/>
          <w:szCs w:val="28"/>
        </w:rPr>
      </w:pPr>
      <w:r>
        <w:rPr>
          <w:rFonts w:hint="eastAsia" w:ascii="仿宋" w:hAnsi="仿宋" w:eastAsia="仿宋" w:cs="仿宋"/>
          <w:b/>
          <w:sz w:val="28"/>
          <w:szCs w:val="28"/>
        </w:rPr>
        <w:br w:type="page"/>
      </w:r>
      <w:r>
        <w:rPr>
          <w:rFonts w:hint="eastAsia" w:ascii="仿宋" w:hAnsi="仿宋" w:eastAsia="仿宋" w:cs="仿宋"/>
          <w:b/>
          <w:sz w:val="28"/>
          <w:szCs w:val="28"/>
        </w:rPr>
        <w:t>施工现场安全管理目标承诺书</w:t>
      </w:r>
    </w:p>
    <w:p w14:paraId="35C406FA">
      <w:pPr>
        <w:wordWrap w:val="0"/>
        <w:spacing w:line="360" w:lineRule="auto"/>
        <w:ind w:firstLine="480" w:firstLineChars="200"/>
        <w:rPr>
          <w:rFonts w:hint="eastAsia" w:ascii="仿宋" w:hAnsi="仿宋" w:eastAsia="仿宋" w:cs="仿宋"/>
          <w:sz w:val="24"/>
          <w:szCs w:val="24"/>
        </w:rPr>
      </w:pPr>
    </w:p>
    <w:p w14:paraId="13F9B954">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为为全面落实国家2021年9月1日起实施的新《安全生产法》有关“人民至上、生命至上”以人为本的指导思想，进一步促进乙方施工企业加强安全生产的目标化管理，强化安全生产责任，同时促进乙方施工现场安全化管理的具体落实，做到奖优罚劣，根据上级主管部门和甲方总公司要求，乙方所承接的改、扩建相关工程等，根据国家、地方的相关法律法规，规章和工程建设标准进行施工，对承建的建设工程施工安全全权负责。</w:t>
      </w:r>
    </w:p>
    <w:p w14:paraId="2B95D6BC">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现由</w:t>
      </w:r>
      <w:r>
        <w:rPr>
          <w:rFonts w:hint="eastAsia" w:ascii="仿宋" w:hAnsi="仿宋" w:eastAsia="仿宋" w:cs="仿宋"/>
          <w:sz w:val="24"/>
          <w:szCs w:val="24"/>
          <w:u w:val="single"/>
          <w:lang w:eastAsia="zh-CN"/>
        </w:rPr>
        <w:t>沁园春锦营销中心商业氛围包装广告制作及安装</w:t>
      </w:r>
      <w:r>
        <w:rPr>
          <w:rFonts w:hint="eastAsia" w:ascii="仿宋" w:hAnsi="仿宋" w:eastAsia="仿宋" w:cs="仿宋"/>
          <w:sz w:val="24"/>
          <w:szCs w:val="24"/>
        </w:rPr>
        <w:t>乙方单位、项目经理向甲方签订施工现场安全管理目标承诺书。</w:t>
      </w:r>
    </w:p>
    <w:p w14:paraId="4E2BC36C">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（一）安全管理目标承诺</w:t>
      </w:r>
    </w:p>
    <w:p w14:paraId="41F1235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1、事故管理</w:t>
      </w:r>
    </w:p>
    <w:p w14:paraId="59333983">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本工程杜绝重大、一般伤亡事故发生（包括中毒、消防）。轻伤事故率控制在1次。</w:t>
      </w:r>
    </w:p>
    <w:p w14:paraId="2DED328C">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2、安全管理</w:t>
      </w:r>
    </w:p>
    <w:p w14:paraId="23FB58E7">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①按照乙方施工组织设计中采取的安全措施的项目执行率100%，确保安全生产经费的投入。安全生产管理人员配备按照相应的法律法规，规章制度配备。</w:t>
      </w:r>
    </w:p>
    <w:p w14:paraId="0435A68E">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②施工现场每月组织二次由乙方总经理或项目经理组织的安全大检查。安全检查每周一次，发现的问题及时整改，整改率达到100%。</w:t>
      </w:r>
    </w:p>
    <w:p w14:paraId="59350100">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③施工现场乙方各级职能人员岗位责任制、目标责任书执行率100%。安全技术交底覆盖率必须100%。</w:t>
      </w:r>
    </w:p>
    <w:p w14:paraId="555E30DE">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④乙方施工现场脚手架及高处防护作业工程、施工用电、施工机械及物料运输提升设施验收合格率100%。</w:t>
      </w:r>
    </w:p>
    <w:p w14:paraId="210E4BBD">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⑤乙方施工现场各类机械、机电设备完好率100%。</w:t>
      </w:r>
    </w:p>
    <w:p w14:paraId="4B03CEFB">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3、安全教育</w:t>
      </w:r>
    </w:p>
    <w:p w14:paraId="5819A39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乙方从业人员岗前三级教育100%以上，特种工人持证上岗率100%，施工管理人员安全培训率100%。</w:t>
      </w:r>
    </w:p>
    <w:p w14:paraId="626382D6">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（二）其它</w:t>
      </w:r>
    </w:p>
    <w:p w14:paraId="6DDD7A21">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1、本施工现场安全管理目标承诺书所承诺内容应符合有关安全生产的法律、法规要求，并与乙方企业安全资质级别相符，能代表企业安全管理的整体水平。</w:t>
      </w:r>
    </w:p>
    <w:p w14:paraId="432FEE7F">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2、本乙方及其项目部将按“一标准四规范”，定期或不定期对在建工程进行安全检查，落实安全承诺内容。</w:t>
      </w:r>
    </w:p>
    <w:p w14:paraId="07E75F57">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3、如未达到上述承诺，乙方将自愿按甲方企业标准的相关管理规定承担全部经济责任及其相关全部法律后果。</w:t>
      </w:r>
    </w:p>
    <w:p w14:paraId="3F226C48">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3、工程竣工后由建设工程质量、安全监督站核评本施工项目安全目标情况，并报甲方总公司作为年度考核的依据。</w:t>
      </w:r>
    </w:p>
    <w:p w14:paraId="031DC4EE">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4、本承诺书于乙方进场前双方签订。一式4份，甲方3份，乙方1份，均妥为保存以备各方核查。</w:t>
      </w:r>
    </w:p>
    <w:p w14:paraId="0D5FC307">
      <w:pPr>
        <w:widowControl/>
        <w:wordWrap w:val="0"/>
        <w:spacing w:line="360" w:lineRule="auto"/>
        <w:ind w:firstLine="480" w:firstLineChars="200"/>
        <w:rPr>
          <w:rFonts w:hint="eastAsia" w:ascii="仿宋" w:hAnsi="仿宋" w:eastAsia="仿宋" w:cs="仿宋"/>
          <w:sz w:val="24"/>
          <w:szCs w:val="24"/>
        </w:rPr>
      </w:pPr>
    </w:p>
    <w:p w14:paraId="6D63938A">
      <w:pPr>
        <w:widowControl/>
        <w:wordWrap w:val="0"/>
        <w:spacing w:line="360" w:lineRule="auto"/>
        <w:ind w:firstLine="480" w:firstLineChars="200"/>
        <w:rPr>
          <w:rFonts w:hint="default" w:ascii="仿宋" w:hAnsi="仿宋" w:eastAsia="仿宋" w:cs="仿宋"/>
          <w:bCs/>
          <w:sz w:val="24"/>
          <w:szCs w:val="24"/>
          <w:u w:val="single"/>
          <w:lang w:val="en-US"/>
        </w:rPr>
      </w:pPr>
      <w:r>
        <w:rPr>
          <w:rFonts w:hint="eastAsia" w:ascii="仿宋" w:hAnsi="仿宋" w:eastAsia="仿宋" w:cs="仿宋"/>
          <w:sz w:val="24"/>
          <w:szCs w:val="24"/>
        </w:rPr>
        <w:t>工程地点：</w:t>
      </w:r>
      <w:r>
        <w:rPr>
          <w:rFonts w:hint="eastAsia" w:ascii="仿宋" w:hAnsi="仿宋" w:eastAsia="仿宋"/>
          <w:color w:val="000000"/>
          <w:sz w:val="24"/>
          <w:szCs w:val="24"/>
          <w:lang w:val="en-US" w:eastAsia="zh-CN"/>
        </w:rPr>
        <w:t>库尔勒市</w:t>
      </w:r>
    </w:p>
    <w:p w14:paraId="1272921E">
      <w:pPr>
        <w:widowControl/>
        <w:wordWrap w:val="0"/>
        <w:spacing w:line="360" w:lineRule="auto"/>
        <w:ind w:firstLine="480" w:firstLineChars="200"/>
        <w:rPr>
          <w:rFonts w:hint="eastAsia" w:ascii="仿宋" w:hAnsi="仿宋" w:eastAsia="仿宋" w:cs="仿宋"/>
          <w:sz w:val="24"/>
          <w:szCs w:val="24"/>
        </w:rPr>
      </w:pPr>
    </w:p>
    <w:p w14:paraId="275CA9C0">
      <w:pPr>
        <w:widowControl/>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甲方（总包方）：新疆通力房地产开发有限公司库尔勒分公司 </w:t>
      </w:r>
    </w:p>
    <w:p w14:paraId="4381B854">
      <w:pPr>
        <w:widowControl/>
        <w:wordWrap w:val="0"/>
        <w:spacing w:line="360" w:lineRule="auto"/>
        <w:ind w:firstLine="480" w:firstLineChars="200"/>
        <w:rPr>
          <w:rFonts w:hint="default" w:ascii="仿宋" w:hAnsi="仿宋" w:eastAsia="仿宋" w:cs="仿宋"/>
          <w:sz w:val="24"/>
          <w:szCs w:val="24"/>
          <w:lang w:val="en-US"/>
        </w:rPr>
      </w:pPr>
      <w:r>
        <w:rPr>
          <w:rFonts w:hint="eastAsia" w:ascii="仿宋" w:hAnsi="仿宋" w:eastAsia="仿宋" w:cs="仿宋"/>
          <w:sz w:val="24"/>
          <w:szCs w:val="24"/>
        </w:rPr>
        <w:t>甲方项目负责人（</w:t>
      </w:r>
      <w:r>
        <w:rPr>
          <w:rFonts w:hint="eastAsia" w:ascii="仿宋" w:hAnsi="仿宋" w:eastAsia="仿宋" w:cs="仿宋"/>
          <w:sz w:val="24"/>
          <w:szCs w:val="24"/>
          <w:lang w:val="en-US" w:eastAsia="zh-CN"/>
        </w:rPr>
        <w:t>卢婷婷</w:t>
      </w:r>
      <w:r>
        <w:rPr>
          <w:rFonts w:hint="eastAsia" w:ascii="仿宋" w:hAnsi="仿宋" w:eastAsia="仿宋" w:cs="仿宋"/>
          <w:sz w:val="24"/>
          <w:szCs w:val="24"/>
        </w:rPr>
        <w:t>）签字：          手机：</w:t>
      </w:r>
      <w:r>
        <w:rPr>
          <w:rFonts w:hint="eastAsia" w:ascii="仿宋" w:hAnsi="仿宋" w:eastAsia="仿宋" w:cs="仿宋"/>
          <w:sz w:val="24"/>
          <w:szCs w:val="24"/>
          <w:lang w:val="en-US" w:eastAsia="zh-CN"/>
        </w:rPr>
        <w:t>13199840890</w:t>
      </w:r>
    </w:p>
    <w:p w14:paraId="7A38DB1B">
      <w:pPr>
        <w:widowControl/>
        <w:wordWrap w:val="0"/>
        <w:spacing w:line="360" w:lineRule="auto"/>
        <w:ind w:firstLine="480" w:firstLineChars="200"/>
        <w:rPr>
          <w:rFonts w:hint="eastAsia" w:ascii="仿宋" w:hAnsi="仿宋" w:eastAsia="仿宋" w:cs="仿宋"/>
          <w:sz w:val="24"/>
          <w:szCs w:val="24"/>
        </w:rPr>
      </w:pPr>
    </w:p>
    <w:p w14:paraId="1235DB06">
      <w:pPr>
        <w:widowControl/>
        <w:wordWrap w:val="0"/>
        <w:spacing w:line="360" w:lineRule="auto"/>
        <w:ind w:firstLine="480" w:firstLineChars="200"/>
        <w:rPr>
          <w:rFonts w:hint="eastAsia" w:ascii="仿宋" w:hAnsi="仿宋" w:eastAsia="仿宋" w:cs="仿宋"/>
          <w:sz w:val="24"/>
          <w:szCs w:val="24"/>
        </w:rPr>
      </w:pPr>
    </w:p>
    <w:p w14:paraId="67096715">
      <w:pPr>
        <w:wordWrap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乙方单位（盖章）：                       座机电话：</w:t>
      </w:r>
      <w:permStart w:id="28" w:edGrp="everyone"/>
      <w:r>
        <w:rPr>
          <w:rFonts w:hint="eastAsia" w:ascii="仿宋" w:hAnsi="仿宋" w:eastAsia="仿宋" w:cs="仿宋"/>
          <w:sz w:val="24"/>
          <w:szCs w:val="24"/>
          <w:lang w:val="en-US" w:eastAsia="zh-CN"/>
        </w:rPr>
        <w:t xml:space="preserve">      </w:t>
      </w:r>
    </w:p>
    <w:permEnd w:id="28"/>
    <w:p w14:paraId="58774BEC">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 xml:space="preserve">         </w:t>
      </w:r>
    </w:p>
    <w:p w14:paraId="3CE2BE90">
      <w:pPr>
        <w:wordWrap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乙方法定代表人</w:t>
      </w:r>
      <w:r>
        <w:rPr>
          <w:rFonts w:hint="eastAsia" w:ascii="仿宋" w:hAnsi="仿宋" w:eastAsia="仿宋" w:cs="仿宋"/>
          <w:bCs/>
          <w:sz w:val="24"/>
          <w:szCs w:val="24"/>
        </w:rPr>
        <w:t>（）</w:t>
      </w:r>
      <w:r>
        <w:rPr>
          <w:rFonts w:hint="eastAsia" w:ascii="仿宋" w:hAnsi="仿宋" w:eastAsia="仿宋" w:cs="仿宋"/>
          <w:sz w:val="24"/>
          <w:szCs w:val="24"/>
        </w:rPr>
        <w:t>签字：            手机：</w:t>
      </w:r>
    </w:p>
    <w:p w14:paraId="6F2B9BFD">
      <w:pPr>
        <w:wordWrap w:val="0"/>
        <w:spacing w:line="360" w:lineRule="auto"/>
        <w:ind w:firstLine="480" w:firstLineChars="200"/>
        <w:rPr>
          <w:rFonts w:hint="eastAsia" w:ascii="仿宋" w:hAnsi="仿宋" w:eastAsia="仿宋" w:cs="仿宋"/>
          <w:sz w:val="24"/>
          <w:szCs w:val="24"/>
        </w:rPr>
      </w:pPr>
    </w:p>
    <w:p w14:paraId="06AED2A6">
      <w:pPr>
        <w:wordWrap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乙方项目负责人</w:t>
      </w:r>
      <w:r>
        <w:rPr>
          <w:rFonts w:hint="eastAsia" w:ascii="仿宋" w:hAnsi="仿宋" w:eastAsia="仿宋" w:cs="仿宋"/>
          <w:bCs/>
          <w:sz w:val="24"/>
          <w:szCs w:val="24"/>
        </w:rPr>
        <w:t>（）</w:t>
      </w:r>
      <w:r>
        <w:rPr>
          <w:rFonts w:hint="eastAsia" w:ascii="仿宋" w:hAnsi="仿宋" w:eastAsia="仿宋" w:cs="仿宋"/>
          <w:sz w:val="24"/>
          <w:szCs w:val="24"/>
        </w:rPr>
        <w:t xml:space="preserve">签字：          手机： </w:t>
      </w:r>
    </w:p>
    <w:p w14:paraId="0576ADA2">
      <w:pPr>
        <w:wordWrap w:val="0"/>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 xml:space="preserve">                                                  </w:t>
      </w:r>
    </w:p>
    <w:p w14:paraId="1CDFC757">
      <w:pPr>
        <w:widowControl/>
        <w:wordWrap w:val="0"/>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签订时间：</w:t>
      </w:r>
      <w:permStart w:id="29" w:edGrp="everyone"/>
      <w:r>
        <w:rPr>
          <w:rFonts w:hint="eastAsia" w:ascii="仿宋" w:hAnsi="仿宋" w:eastAsia="仿宋" w:cs="仿宋"/>
          <w:b/>
          <w:sz w:val="24"/>
          <w:szCs w:val="24"/>
        </w:rPr>
        <w:t>202</w:t>
      </w:r>
      <w:r>
        <w:rPr>
          <w:rFonts w:hint="eastAsia" w:ascii="仿宋" w:hAnsi="仿宋" w:eastAsia="仿宋" w:cs="仿宋"/>
          <w:b/>
          <w:sz w:val="24"/>
          <w:szCs w:val="24"/>
          <w:lang w:val="en-US" w:eastAsia="zh-CN"/>
        </w:rPr>
        <w:t>5</w:t>
      </w:r>
      <w:r>
        <w:rPr>
          <w:rFonts w:hint="eastAsia" w:ascii="仿宋" w:hAnsi="仿宋" w:eastAsia="仿宋" w:cs="仿宋"/>
          <w:b/>
          <w:sz w:val="24"/>
          <w:szCs w:val="24"/>
        </w:rPr>
        <w:t>年</w:t>
      </w:r>
      <w:r>
        <w:rPr>
          <w:rFonts w:hint="eastAsia" w:ascii="仿宋" w:hAnsi="仿宋" w:eastAsia="仿宋" w:cs="仿宋"/>
          <w:b/>
          <w:sz w:val="24"/>
          <w:szCs w:val="24"/>
          <w:lang w:val="en-US" w:eastAsia="zh-CN"/>
        </w:rPr>
        <w:t>4</w:t>
      </w:r>
      <w:r>
        <w:rPr>
          <w:rFonts w:hint="eastAsia" w:ascii="仿宋" w:hAnsi="仿宋" w:eastAsia="仿宋" w:cs="仿宋"/>
          <w:b/>
          <w:sz w:val="24"/>
          <w:szCs w:val="24"/>
        </w:rPr>
        <w:t>月</w:t>
      </w:r>
      <w:r>
        <w:rPr>
          <w:rFonts w:hint="eastAsia" w:ascii="仿宋" w:hAnsi="仿宋" w:eastAsia="仿宋" w:cs="仿宋"/>
          <w:b/>
          <w:sz w:val="24"/>
          <w:szCs w:val="24"/>
          <w:lang w:val="en-US" w:eastAsia="zh-CN"/>
        </w:rPr>
        <w:t>2</w:t>
      </w:r>
      <w:r>
        <w:rPr>
          <w:rFonts w:hint="eastAsia" w:ascii="仿宋" w:hAnsi="仿宋" w:eastAsia="仿宋" w:cs="仿宋"/>
          <w:b/>
          <w:sz w:val="24"/>
          <w:szCs w:val="24"/>
        </w:rPr>
        <w:t>日</w:t>
      </w:r>
    </w:p>
    <w:p w14:paraId="7C369417">
      <w:pPr>
        <w:widowControl/>
        <w:wordWrap w:val="0"/>
        <w:spacing w:line="360" w:lineRule="auto"/>
        <w:jc w:val="center"/>
        <w:rPr>
          <w:rFonts w:hint="eastAsia" w:ascii="仿宋" w:hAnsi="仿宋" w:eastAsia="仿宋" w:cs="仿宋"/>
          <w:b/>
          <w:sz w:val="24"/>
          <w:szCs w:val="24"/>
        </w:rPr>
      </w:pPr>
    </w:p>
    <w:p w14:paraId="556FE01B">
      <w:pPr>
        <w:widowControl/>
        <w:wordWrap w:val="0"/>
        <w:spacing w:line="360" w:lineRule="auto"/>
        <w:jc w:val="center"/>
        <w:rPr>
          <w:rFonts w:hint="eastAsia" w:ascii="仿宋" w:hAnsi="仿宋" w:eastAsia="仿宋" w:cs="仿宋"/>
          <w:b/>
          <w:sz w:val="24"/>
          <w:szCs w:val="24"/>
        </w:rPr>
      </w:pPr>
    </w:p>
    <w:p w14:paraId="66E8930A">
      <w:pPr>
        <w:widowControl/>
        <w:wordWrap w:val="0"/>
        <w:spacing w:line="360" w:lineRule="auto"/>
        <w:jc w:val="center"/>
        <w:rPr>
          <w:rFonts w:hint="eastAsia" w:ascii="仿宋" w:hAnsi="仿宋" w:eastAsia="仿宋" w:cs="仿宋"/>
          <w:b/>
          <w:sz w:val="24"/>
          <w:szCs w:val="24"/>
        </w:rPr>
      </w:pPr>
    </w:p>
    <w:p w14:paraId="196D2DAC">
      <w:pPr>
        <w:widowControl/>
        <w:wordWrap w:val="0"/>
        <w:spacing w:line="360" w:lineRule="auto"/>
        <w:jc w:val="center"/>
        <w:rPr>
          <w:rFonts w:hint="eastAsia" w:ascii="仿宋" w:hAnsi="仿宋" w:eastAsia="仿宋" w:cs="仿宋"/>
          <w:b/>
          <w:sz w:val="24"/>
          <w:szCs w:val="24"/>
        </w:rPr>
      </w:pPr>
    </w:p>
    <w:p w14:paraId="009AE2DE">
      <w:pPr>
        <w:widowControl/>
        <w:wordWrap w:val="0"/>
        <w:spacing w:line="360" w:lineRule="auto"/>
        <w:jc w:val="center"/>
        <w:rPr>
          <w:rFonts w:hint="eastAsia" w:ascii="仿宋" w:hAnsi="仿宋" w:eastAsia="仿宋" w:cs="仿宋"/>
          <w:b/>
          <w:sz w:val="24"/>
          <w:szCs w:val="24"/>
        </w:rPr>
      </w:pPr>
    </w:p>
    <w:p w14:paraId="5FDEE598">
      <w:pPr>
        <w:widowControl/>
        <w:wordWrap w:val="0"/>
        <w:spacing w:line="360" w:lineRule="auto"/>
        <w:jc w:val="both"/>
        <w:rPr>
          <w:rFonts w:hint="eastAsia" w:ascii="仿宋" w:hAnsi="仿宋" w:eastAsia="仿宋" w:cs="仿宋"/>
          <w:b/>
          <w:sz w:val="24"/>
          <w:szCs w:val="24"/>
          <w:lang w:val="en-US" w:eastAsia="zh-CN"/>
        </w:rPr>
      </w:pPr>
      <w:bookmarkStart w:id="2" w:name="_GoBack"/>
      <w:r>
        <w:rPr>
          <w:rFonts w:hint="eastAsia" w:ascii="仿宋" w:hAnsi="仿宋" w:eastAsia="仿宋" w:cs="仿宋"/>
          <w:b/>
          <w:sz w:val="24"/>
          <w:szCs w:val="24"/>
          <w:lang w:val="en-US" w:eastAsia="zh-CN"/>
        </w:rPr>
        <w:drawing>
          <wp:inline distT="0" distB="0" distL="114300" distR="114300">
            <wp:extent cx="5392420" cy="3813175"/>
            <wp:effectExtent l="0" t="0" r="17780" b="15875"/>
            <wp:docPr id="1" name="图片 1" descr="9efe9bfb1167f1fb4c808a41f7245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efe9bfb1167f1fb4c808a41f7245bd"/>
                    <pic:cNvPicPr>
                      <a:picLocks noChangeAspect="1"/>
                    </pic:cNvPicPr>
                  </pic:nvPicPr>
                  <pic:blipFill>
                    <a:blip r:embed="rId6"/>
                    <a:stretch>
                      <a:fillRect/>
                    </a:stretch>
                  </pic:blipFill>
                  <pic:spPr>
                    <a:xfrm>
                      <a:off x="0" y="0"/>
                      <a:ext cx="5392420" cy="3813175"/>
                    </a:xfrm>
                    <a:prstGeom prst="rect">
                      <a:avLst/>
                    </a:prstGeom>
                  </pic:spPr>
                </pic:pic>
              </a:graphicData>
            </a:graphic>
          </wp:inline>
        </w:drawing>
      </w:r>
      <w:permEnd w:id="29"/>
      <w:bookmarkEnd w:id="2"/>
    </w:p>
    <w:sectPr>
      <w:headerReference r:id="rId3" w:type="default"/>
      <w:footerReference r:id="rId4" w:type="default"/>
      <w:pgSz w:w="11906" w:h="16838"/>
      <w:pgMar w:top="1701" w:right="1701" w:bottom="1701" w:left="170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86FFBE81-49DD-47F2-BDDE-8B285C9F193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DC00C">
    <w:pPr>
      <w:pStyle w:val="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2A599">
    <w:pPr>
      <w:pStyle w:val="8"/>
      <w:jc w:val="right"/>
      <w:rPr>
        <w:rFonts w:hint="default" w:eastAsiaTheme="minorEastAsia"/>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版号0.17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7C93FD"/>
    <w:multiLevelType w:val="singleLevel"/>
    <w:tmpl w:val="7F7C93FD"/>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0"/>
  <w:bordersDoNotSurroundFooter w:val="0"/>
  <w:documentProtection w:edit="readOnly" w:enforcement="0"/>
  <w:defaultTabStop w:val="420"/>
  <w:drawingGridHorizontalSpacing w:val="10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OGE2NGMwZDIyY2Y1NTgyNDA0OWQzMzZkYjRhOTkifQ=="/>
    <w:docVar w:name="KSO_WPS_MARK_KEY" w:val="24c196b6-3355-4717-8c11-a9d0387519a1"/>
  </w:docVars>
  <w:rsids>
    <w:rsidRoot w:val="007C0203"/>
    <w:rsid w:val="00002BA8"/>
    <w:rsid w:val="00007B08"/>
    <w:rsid w:val="00010FBB"/>
    <w:rsid w:val="00014213"/>
    <w:rsid w:val="0001678F"/>
    <w:rsid w:val="00017C1F"/>
    <w:rsid w:val="000245A8"/>
    <w:rsid w:val="00030437"/>
    <w:rsid w:val="00030B18"/>
    <w:rsid w:val="000342BF"/>
    <w:rsid w:val="00037B79"/>
    <w:rsid w:val="00042995"/>
    <w:rsid w:val="00064D23"/>
    <w:rsid w:val="000757DD"/>
    <w:rsid w:val="00076E9E"/>
    <w:rsid w:val="00084A89"/>
    <w:rsid w:val="000945BE"/>
    <w:rsid w:val="000A3778"/>
    <w:rsid w:val="000B2385"/>
    <w:rsid w:val="000B3FDD"/>
    <w:rsid w:val="000D24FC"/>
    <w:rsid w:val="000D5530"/>
    <w:rsid w:val="000E17A6"/>
    <w:rsid w:val="000E3FEE"/>
    <w:rsid w:val="001037A8"/>
    <w:rsid w:val="00111DC5"/>
    <w:rsid w:val="00131CDE"/>
    <w:rsid w:val="00146C1E"/>
    <w:rsid w:val="00147932"/>
    <w:rsid w:val="00151CE6"/>
    <w:rsid w:val="00155712"/>
    <w:rsid w:val="001565FC"/>
    <w:rsid w:val="001650C2"/>
    <w:rsid w:val="00165B3D"/>
    <w:rsid w:val="0019177C"/>
    <w:rsid w:val="00192114"/>
    <w:rsid w:val="00194C90"/>
    <w:rsid w:val="001950DE"/>
    <w:rsid w:val="00195AAF"/>
    <w:rsid w:val="001A4941"/>
    <w:rsid w:val="001B1D80"/>
    <w:rsid w:val="001B1E58"/>
    <w:rsid w:val="001B3B6A"/>
    <w:rsid w:val="001B635B"/>
    <w:rsid w:val="001B6615"/>
    <w:rsid w:val="001C5E1B"/>
    <w:rsid w:val="001C73AD"/>
    <w:rsid w:val="001D7D62"/>
    <w:rsid w:val="001E3C7F"/>
    <w:rsid w:val="001E56F3"/>
    <w:rsid w:val="0020004B"/>
    <w:rsid w:val="0021139D"/>
    <w:rsid w:val="002147ED"/>
    <w:rsid w:val="00217528"/>
    <w:rsid w:val="0023165B"/>
    <w:rsid w:val="00243DE7"/>
    <w:rsid w:val="00250637"/>
    <w:rsid w:val="002528E5"/>
    <w:rsid w:val="002776D8"/>
    <w:rsid w:val="002841DD"/>
    <w:rsid w:val="00290BE4"/>
    <w:rsid w:val="00295541"/>
    <w:rsid w:val="0029671C"/>
    <w:rsid w:val="002B2C16"/>
    <w:rsid w:val="002B5556"/>
    <w:rsid w:val="002C7CAE"/>
    <w:rsid w:val="002F3297"/>
    <w:rsid w:val="00302B64"/>
    <w:rsid w:val="0030406E"/>
    <w:rsid w:val="00304ABD"/>
    <w:rsid w:val="00311B3B"/>
    <w:rsid w:val="0031621B"/>
    <w:rsid w:val="00316C32"/>
    <w:rsid w:val="00316EFC"/>
    <w:rsid w:val="00317ADA"/>
    <w:rsid w:val="003234B8"/>
    <w:rsid w:val="00335EFD"/>
    <w:rsid w:val="00355EC4"/>
    <w:rsid w:val="00356136"/>
    <w:rsid w:val="003639B1"/>
    <w:rsid w:val="00372AA2"/>
    <w:rsid w:val="00381074"/>
    <w:rsid w:val="003817FC"/>
    <w:rsid w:val="00395189"/>
    <w:rsid w:val="003B0B0F"/>
    <w:rsid w:val="003B552A"/>
    <w:rsid w:val="003F38DE"/>
    <w:rsid w:val="00417069"/>
    <w:rsid w:val="0043028C"/>
    <w:rsid w:val="0043203C"/>
    <w:rsid w:val="004320E8"/>
    <w:rsid w:val="00433AA6"/>
    <w:rsid w:val="00437FA2"/>
    <w:rsid w:val="00456D7A"/>
    <w:rsid w:val="00457C88"/>
    <w:rsid w:val="004621CE"/>
    <w:rsid w:val="00464FD0"/>
    <w:rsid w:val="004665BF"/>
    <w:rsid w:val="00467869"/>
    <w:rsid w:val="00472EA2"/>
    <w:rsid w:val="00475EDE"/>
    <w:rsid w:val="0047742C"/>
    <w:rsid w:val="004809FD"/>
    <w:rsid w:val="004863B5"/>
    <w:rsid w:val="004A2B53"/>
    <w:rsid w:val="004A78BC"/>
    <w:rsid w:val="004C4AA8"/>
    <w:rsid w:val="004D3A4C"/>
    <w:rsid w:val="004E3FE7"/>
    <w:rsid w:val="004E6785"/>
    <w:rsid w:val="00516E46"/>
    <w:rsid w:val="0052476E"/>
    <w:rsid w:val="00526F0E"/>
    <w:rsid w:val="005305EC"/>
    <w:rsid w:val="0053281C"/>
    <w:rsid w:val="00540AD9"/>
    <w:rsid w:val="005419E7"/>
    <w:rsid w:val="00546412"/>
    <w:rsid w:val="00551E89"/>
    <w:rsid w:val="005536F7"/>
    <w:rsid w:val="00555C2B"/>
    <w:rsid w:val="00563390"/>
    <w:rsid w:val="00565175"/>
    <w:rsid w:val="00572CD3"/>
    <w:rsid w:val="0058469E"/>
    <w:rsid w:val="00592EF6"/>
    <w:rsid w:val="00594610"/>
    <w:rsid w:val="005B02E3"/>
    <w:rsid w:val="005B7C87"/>
    <w:rsid w:val="005C74E6"/>
    <w:rsid w:val="005F52F9"/>
    <w:rsid w:val="00600306"/>
    <w:rsid w:val="00606043"/>
    <w:rsid w:val="006076F5"/>
    <w:rsid w:val="00610C1C"/>
    <w:rsid w:val="006225B3"/>
    <w:rsid w:val="00626FB0"/>
    <w:rsid w:val="00627201"/>
    <w:rsid w:val="00627FEA"/>
    <w:rsid w:val="006309CF"/>
    <w:rsid w:val="00631005"/>
    <w:rsid w:val="00631E1D"/>
    <w:rsid w:val="00637769"/>
    <w:rsid w:val="00647EE5"/>
    <w:rsid w:val="00665A89"/>
    <w:rsid w:val="00674F5D"/>
    <w:rsid w:val="00697D36"/>
    <w:rsid w:val="006B3E22"/>
    <w:rsid w:val="006C6BDD"/>
    <w:rsid w:val="006E16A5"/>
    <w:rsid w:val="006E5F87"/>
    <w:rsid w:val="007002EA"/>
    <w:rsid w:val="00701F8B"/>
    <w:rsid w:val="00702CA8"/>
    <w:rsid w:val="00710E0F"/>
    <w:rsid w:val="0071364A"/>
    <w:rsid w:val="00727D5D"/>
    <w:rsid w:val="007300D3"/>
    <w:rsid w:val="00734BF6"/>
    <w:rsid w:val="00740FC0"/>
    <w:rsid w:val="00744A44"/>
    <w:rsid w:val="007471A7"/>
    <w:rsid w:val="00757924"/>
    <w:rsid w:val="00762D8B"/>
    <w:rsid w:val="00782A53"/>
    <w:rsid w:val="007852B9"/>
    <w:rsid w:val="00790B9A"/>
    <w:rsid w:val="00792874"/>
    <w:rsid w:val="007C0203"/>
    <w:rsid w:val="007C3011"/>
    <w:rsid w:val="007C6AA0"/>
    <w:rsid w:val="007D049D"/>
    <w:rsid w:val="007F238F"/>
    <w:rsid w:val="007F77A1"/>
    <w:rsid w:val="008174ED"/>
    <w:rsid w:val="008218A5"/>
    <w:rsid w:val="00822B6C"/>
    <w:rsid w:val="00834C72"/>
    <w:rsid w:val="00837A00"/>
    <w:rsid w:val="00837FD3"/>
    <w:rsid w:val="00847F7C"/>
    <w:rsid w:val="00861607"/>
    <w:rsid w:val="00864153"/>
    <w:rsid w:val="00866E1E"/>
    <w:rsid w:val="00873415"/>
    <w:rsid w:val="008A3097"/>
    <w:rsid w:val="008B0D34"/>
    <w:rsid w:val="008C3B79"/>
    <w:rsid w:val="008C6359"/>
    <w:rsid w:val="008C6B15"/>
    <w:rsid w:val="008D7FE3"/>
    <w:rsid w:val="008E1D39"/>
    <w:rsid w:val="008F179C"/>
    <w:rsid w:val="008F2F5D"/>
    <w:rsid w:val="008F383B"/>
    <w:rsid w:val="0090050C"/>
    <w:rsid w:val="00903CCF"/>
    <w:rsid w:val="00905DF9"/>
    <w:rsid w:val="00912D6A"/>
    <w:rsid w:val="0091525A"/>
    <w:rsid w:val="00916372"/>
    <w:rsid w:val="009164F8"/>
    <w:rsid w:val="009176EA"/>
    <w:rsid w:val="00917AC3"/>
    <w:rsid w:val="009205A9"/>
    <w:rsid w:val="0092415F"/>
    <w:rsid w:val="00934BAD"/>
    <w:rsid w:val="00941374"/>
    <w:rsid w:val="00942A9B"/>
    <w:rsid w:val="0095128E"/>
    <w:rsid w:val="00956A08"/>
    <w:rsid w:val="00961840"/>
    <w:rsid w:val="00967186"/>
    <w:rsid w:val="00982D92"/>
    <w:rsid w:val="009A1199"/>
    <w:rsid w:val="009A7910"/>
    <w:rsid w:val="009A7978"/>
    <w:rsid w:val="009B6484"/>
    <w:rsid w:val="009B753F"/>
    <w:rsid w:val="009C04D4"/>
    <w:rsid w:val="009C1544"/>
    <w:rsid w:val="009C2554"/>
    <w:rsid w:val="009C4EEF"/>
    <w:rsid w:val="009D483B"/>
    <w:rsid w:val="009D4BD4"/>
    <w:rsid w:val="009E3D9B"/>
    <w:rsid w:val="009E7CC5"/>
    <w:rsid w:val="00A11F35"/>
    <w:rsid w:val="00A17429"/>
    <w:rsid w:val="00A43EFE"/>
    <w:rsid w:val="00A506A6"/>
    <w:rsid w:val="00A56353"/>
    <w:rsid w:val="00A762A0"/>
    <w:rsid w:val="00A80DE8"/>
    <w:rsid w:val="00A8625F"/>
    <w:rsid w:val="00A927A7"/>
    <w:rsid w:val="00A945E2"/>
    <w:rsid w:val="00AA2113"/>
    <w:rsid w:val="00AA7698"/>
    <w:rsid w:val="00AB1CF6"/>
    <w:rsid w:val="00AB4F12"/>
    <w:rsid w:val="00AC2097"/>
    <w:rsid w:val="00AC327E"/>
    <w:rsid w:val="00AD2C69"/>
    <w:rsid w:val="00AE4A3C"/>
    <w:rsid w:val="00AE6EC2"/>
    <w:rsid w:val="00AF3AA8"/>
    <w:rsid w:val="00AF4A62"/>
    <w:rsid w:val="00AF5414"/>
    <w:rsid w:val="00B00976"/>
    <w:rsid w:val="00B16283"/>
    <w:rsid w:val="00B268D5"/>
    <w:rsid w:val="00B4735C"/>
    <w:rsid w:val="00B5698A"/>
    <w:rsid w:val="00B56C0F"/>
    <w:rsid w:val="00B70C3D"/>
    <w:rsid w:val="00B70E35"/>
    <w:rsid w:val="00B739D8"/>
    <w:rsid w:val="00B761AE"/>
    <w:rsid w:val="00B77313"/>
    <w:rsid w:val="00B774E8"/>
    <w:rsid w:val="00B77AB0"/>
    <w:rsid w:val="00B91A2F"/>
    <w:rsid w:val="00B921D8"/>
    <w:rsid w:val="00B958F9"/>
    <w:rsid w:val="00BA0AC5"/>
    <w:rsid w:val="00BB278A"/>
    <w:rsid w:val="00BC0604"/>
    <w:rsid w:val="00BD2550"/>
    <w:rsid w:val="00BD705E"/>
    <w:rsid w:val="00BE6AC0"/>
    <w:rsid w:val="00BF07AA"/>
    <w:rsid w:val="00BF2C25"/>
    <w:rsid w:val="00BF41F0"/>
    <w:rsid w:val="00BF6822"/>
    <w:rsid w:val="00C11E4B"/>
    <w:rsid w:val="00C206CF"/>
    <w:rsid w:val="00C20E53"/>
    <w:rsid w:val="00C238AE"/>
    <w:rsid w:val="00C24089"/>
    <w:rsid w:val="00C32F82"/>
    <w:rsid w:val="00C3510B"/>
    <w:rsid w:val="00C454C8"/>
    <w:rsid w:val="00C50051"/>
    <w:rsid w:val="00C5056C"/>
    <w:rsid w:val="00C51230"/>
    <w:rsid w:val="00C5497D"/>
    <w:rsid w:val="00C54C24"/>
    <w:rsid w:val="00C564D4"/>
    <w:rsid w:val="00C574C8"/>
    <w:rsid w:val="00C57CB8"/>
    <w:rsid w:val="00C60FA5"/>
    <w:rsid w:val="00C65E6B"/>
    <w:rsid w:val="00C74FE0"/>
    <w:rsid w:val="00C8236B"/>
    <w:rsid w:val="00C82921"/>
    <w:rsid w:val="00C86445"/>
    <w:rsid w:val="00C9476B"/>
    <w:rsid w:val="00CA603F"/>
    <w:rsid w:val="00CB1D77"/>
    <w:rsid w:val="00CC2BBB"/>
    <w:rsid w:val="00CD05F2"/>
    <w:rsid w:val="00CD6204"/>
    <w:rsid w:val="00CE07A6"/>
    <w:rsid w:val="00CE3D5B"/>
    <w:rsid w:val="00CF1767"/>
    <w:rsid w:val="00CF475C"/>
    <w:rsid w:val="00D26CFF"/>
    <w:rsid w:val="00D3068B"/>
    <w:rsid w:val="00D362D2"/>
    <w:rsid w:val="00D47A30"/>
    <w:rsid w:val="00D56D2F"/>
    <w:rsid w:val="00D62E9A"/>
    <w:rsid w:val="00D6322C"/>
    <w:rsid w:val="00D67CC6"/>
    <w:rsid w:val="00D75D4D"/>
    <w:rsid w:val="00D947B5"/>
    <w:rsid w:val="00D96C9E"/>
    <w:rsid w:val="00DA6124"/>
    <w:rsid w:val="00DC420D"/>
    <w:rsid w:val="00DC7BB8"/>
    <w:rsid w:val="00DD0E0E"/>
    <w:rsid w:val="00DD24FA"/>
    <w:rsid w:val="00DD30E5"/>
    <w:rsid w:val="00DF39FA"/>
    <w:rsid w:val="00DF5D7F"/>
    <w:rsid w:val="00DF759A"/>
    <w:rsid w:val="00E0387D"/>
    <w:rsid w:val="00E2108B"/>
    <w:rsid w:val="00E21DBC"/>
    <w:rsid w:val="00E33339"/>
    <w:rsid w:val="00E429F8"/>
    <w:rsid w:val="00E4343E"/>
    <w:rsid w:val="00E44E3B"/>
    <w:rsid w:val="00E46DE2"/>
    <w:rsid w:val="00E46DEA"/>
    <w:rsid w:val="00E65B3A"/>
    <w:rsid w:val="00E82477"/>
    <w:rsid w:val="00E834A0"/>
    <w:rsid w:val="00E849DB"/>
    <w:rsid w:val="00E84E16"/>
    <w:rsid w:val="00E85877"/>
    <w:rsid w:val="00E95204"/>
    <w:rsid w:val="00E97C9D"/>
    <w:rsid w:val="00EA2E8E"/>
    <w:rsid w:val="00EA3200"/>
    <w:rsid w:val="00EB2906"/>
    <w:rsid w:val="00EB3C5B"/>
    <w:rsid w:val="00EC0ACA"/>
    <w:rsid w:val="00EE24F9"/>
    <w:rsid w:val="00EE5C86"/>
    <w:rsid w:val="00EF036A"/>
    <w:rsid w:val="00EF1403"/>
    <w:rsid w:val="00EF4CDD"/>
    <w:rsid w:val="00F07562"/>
    <w:rsid w:val="00F110E9"/>
    <w:rsid w:val="00F1437A"/>
    <w:rsid w:val="00F176CA"/>
    <w:rsid w:val="00F21E20"/>
    <w:rsid w:val="00F37215"/>
    <w:rsid w:val="00F440BB"/>
    <w:rsid w:val="00F50724"/>
    <w:rsid w:val="00F54CB2"/>
    <w:rsid w:val="00F610A7"/>
    <w:rsid w:val="00F62A72"/>
    <w:rsid w:val="00F65C18"/>
    <w:rsid w:val="00F90498"/>
    <w:rsid w:val="00F96265"/>
    <w:rsid w:val="00FA5282"/>
    <w:rsid w:val="00FB0E78"/>
    <w:rsid w:val="00FC47A2"/>
    <w:rsid w:val="00FC6237"/>
    <w:rsid w:val="00FD21EE"/>
    <w:rsid w:val="00FD5799"/>
    <w:rsid w:val="00FD5A8A"/>
    <w:rsid w:val="00FE47EF"/>
    <w:rsid w:val="00FE7F01"/>
    <w:rsid w:val="00FF2434"/>
    <w:rsid w:val="00FF4C6A"/>
    <w:rsid w:val="00FF76F1"/>
    <w:rsid w:val="01C965C7"/>
    <w:rsid w:val="01E52B01"/>
    <w:rsid w:val="01EA636A"/>
    <w:rsid w:val="02056D00"/>
    <w:rsid w:val="025739FF"/>
    <w:rsid w:val="02F37E55"/>
    <w:rsid w:val="038666D0"/>
    <w:rsid w:val="041F103F"/>
    <w:rsid w:val="04405BDD"/>
    <w:rsid w:val="04807E7B"/>
    <w:rsid w:val="0481779A"/>
    <w:rsid w:val="04D24D9C"/>
    <w:rsid w:val="051D3AF2"/>
    <w:rsid w:val="053C6EDC"/>
    <w:rsid w:val="05EB537F"/>
    <w:rsid w:val="06226E9D"/>
    <w:rsid w:val="06E24E37"/>
    <w:rsid w:val="07F3557A"/>
    <w:rsid w:val="085B1503"/>
    <w:rsid w:val="09767320"/>
    <w:rsid w:val="0A3D5C6E"/>
    <w:rsid w:val="0B01230C"/>
    <w:rsid w:val="0B3D540F"/>
    <w:rsid w:val="0BAA44FB"/>
    <w:rsid w:val="0C2A756B"/>
    <w:rsid w:val="0C4542C9"/>
    <w:rsid w:val="0D197B03"/>
    <w:rsid w:val="0D847E7B"/>
    <w:rsid w:val="0DC61A39"/>
    <w:rsid w:val="0E732F66"/>
    <w:rsid w:val="0F1644F3"/>
    <w:rsid w:val="0F9C3FDA"/>
    <w:rsid w:val="0FA6000D"/>
    <w:rsid w:val="100E5DC3"/>
    <w:rsid w:val="10AF4A06"/>
    <w:rsid w:val="1112013D"/>
    <w:rsid w:val="11513C30"/>
    <w:rsid w:val="12831FB0"/>
    <w:rsid w:val="130A061A"/>
    <w:rsid w:val="1386264F"/>
    <w:rsid w:val="139B7491"/>
    <w:rsid w:val="153E6A60"/>
    <w:rsid w:val="158E72E0"/>
    <w:rsid w:val="15B21DB9"/>
    <w:rsid w:val="15C35A3C"/>
    <w:rsid w:val="16016768"/>
    <w:rsid w:val="1628114A"/>
    <w:rsid w:val="166E0AD1"/>
    <w:rsid w:val="167E206D"/>
    <w:rsid w:val="17630FC1"/>
    <w:rsid w:val="17AD5B09"/>
    <w:rsid w:val="17B62B1E"/>
    <w:rsid w:val="185F2494"/>
    <w:rsid w:val="18FA2EDF"/>
    <w:rsid w:val="192C10D8"/>
    <w:rsid w:val="1AB40E02"/>
    <w:rsid w:val="1C0701D7"/>
    <w:rsid w:val="1C5B1EE6"/>
    <w:rsid w:val="1D9C52CD"/>
    <w:rsid w:val="1E370F59"/>
    <w:rsid w:val="1E6A1A0C"/>
    <w:rsid w:val="1E6F4ED5"/>
    <w:rsid w:val="1EB83620"/>
    <w:rsid w:val="1F39154C"/>
    <w:rsid w:val="1F672950"/>
    <w:rsid w:val="1F971487"/>
    <w:rsid w:val="22076E3E"/>
    <w:rsid w:val="22370D00"/>
    <w:rsid w:val="227E0409"/>
    <w:rsid w:val="232422EE"/>
    <w:rsid w:val="23D04EDD"/>
    <w:rsid w:val="252D76BA"/>
    <w:rsid w:val="254262DB"/>
    <w:rsid w:val="255120D8"/>
    <w:rsid w:val="25F807A6"/>
    <w:rsid w:val="26307306"/>
    <w:rsid w:val="26491E43"/>
    <w:rsid w:val="267D5289"/>
    <w:rsid w:val="28082EE2"/>
    <w:rsid w:val="285F56AF"/>
    <w:rsid w:val="28C25EFE"/>
    <w:rsid w:val="28D25A5D"/>
    <w:rsid w:val="29FE32E9"/>
    <w:rsid w:val="2A384B62"/>
    <w:rsid w:val="2AA57CA9"/>
    <w:rsid w:val="2B591CE7"/>
    <w:rsid w:val="2B795EE5"/>
    <w:rsid w:val="2B8C5226"/>
    <w:rsid w:val="2C144A47"/>
    <w:rsid w:val="2C9260F5"/>
    <w:rsid w:val="2CBC077F"/>
    <w:rsid w:val="2D28512D"/>
    <w:rsid w:val="2E4C5B33"/>
    <w:rsid w:val="2FFF1EA5"/>
    <w:rsid w:val="30C16364"/>
    <w:rsid w:val="30C96590"/>
    <w:rsid w:val="30EA3919"/>
    <w:rsid w:val="31617CA1"/>
    <w:rsid w:val="31FC6B19"/>
    <w:rsid w:val="32572B5F"/>
    <w:rsid w:val="333E4F07"/>
    <w:rsid w:val="33AB4718"/>
    <w:rsid w:val="340071A3"/>
    <w:rsid w:val="345054B9"/>
    <w:rsid w:val="35472BB0"/>
    <w:rsid w:val="377A5B2A"/>
    <w:rsid w:val="378A7CD5"/>
    <w:rsid w:val="39CA491E"/>
    <w:rsid w:val="39D32083"/>
    <w:rsid w:val="3A2620EA"/>
    <w:rsid w:val="3AA239EB"/>
    <w:rsid w:val="3AD07C49"/>
    <w:rsid w:val="3AFC4F2B"/>
    <w:rsid w:val="3B6E36DF"/>
    <w:rsid w:val="3B750E07"/>
    <w:rsid w:val="3C406CD7"/>
    <w:rsid w:val="3D12591E"/>
    <w:rsid w:val="3EA968CA"/>
    <w:rsid w:val="3F7A4277"/>
    <w:rsid w:val="3F8B48E9"/>
    <w:rsid w:val="3FB91D6F"/>
    <w:rsid w:val="404364B8"/>
    <w:rsid w:val="416F4591"/>
    <w:rsid w:val="41986808"/>
    <w:rsid w:val="41BD380E"/>
    <w:rsid w:val="41D24059"/>
    <w:rsid w:val="42004B08"/>
    <w:rsid w:val="4236611E"/>
    <w:rsid w:val="42F30CCD"/>
    <w:rsid w:val="434F364E"/>
    <w:rsid w:val="43F646EF"/>
    <w:rsid w:val="45173EE8"/>
    <w:rsid w:val="4579380F"/>
    <w:rsid w:val="45AF0A29"/>
    <w:rsid w:val="465A6BE7"/>
    <w:rsid w:val="466F5B20"/>
    <w:rsid w:val="46866038"/>
    <w:rsid w:val="4743722B"/>
    <w:rsid w:val="47B2035D"/>
    <w:rsid w:val="493253A4"/>
    <w:rsid w:val="496E6B0E"/>
    <w:rsid w:val="49B151C9"/>
    <w:rsid w:val="49EF3415"/>
    <w:rsid w:val="4A547853"/>
    <w:rsid w:val="4A590F64"/>
    <w:rsid w:val="4AC734D5"/>
    <w:rsid w:val="4AF75008"/>
    <w:rsid w:val="4B657222"/>
    <w:rsid w:val="4BCF5981"/>
    <w:rsid w:val="4C0A4DFC"/>
    <w:rsid w:val="4C563192"/>
    <w:rsid w:val="4DB8236B"/>
    <w:rsid w:val="4DF831E9"/>
    <w:rsid w:val="4EEC23A6"/>
    <w:rsid w:val="4F0C0C9A"/>
    <w:rsid w:val="4F134203"/>
    <w:rsid w:val="4F412379"/>
    <w:rsid w:val="4FD7787B"/>
    <w:rsid w:val="50B60EBE"/>
    <w:rsid w:val="50D547D5"/>
    <w:rsid w:val="517F7F24"/>
    <w:rsid w:val="526A6404"/>
    <w:rsid w:val="527F0A66"/>
    <w:rsid w:val="53055F35"/>
    <w:rsid w:val="538324A1"/>
    <w:rsid w:val="53B50A13"/>
    <w:rsid w:val="53C82C9E"/>
    <w:rsid w:val="53F71F19"/>
    <w:rsid w:val="552E21BA"/>
    <w:rsid w:val="55322ADD"/>
    <w:rsid w:val="55B24AC8"/>
    <w:rsid w:val="56C65BD3"/>
    <w:rsid w:val="56D13F4F"/>
    <w:rsid w:val="56F049FE"/>
    <w:rsid w:val="571A77B4"/>
    <w:rsid w:val="57663235"/>
    <w:rsid w:val="57787403"/>
    <w:rsid w:val="58AA53D9"/>
    <w:rsid w:val="58F93630"/>
    <w:rsid w:val="59101387"/>
    <w:rsid w:val="598243F7"/>
    <w:rsid w:val="5A5F2782"/>
    <w:rsid w:val="5AF82FF1"/>
    <w:rsid w:val="5B4D4F17"/>
    <w:rsid w:val="5BB84EC8"/>
    <w:rsid w:val="5BBF3123"/>
    <w:rsid w:val="5C63607E"/>
    <w:rsid w:val="5D9521EB"/>
    <w:rsid w:val="5DA8624B"/>
    <w:rsid w:val="5E82124F"/>
    <w:rsid w:val="61555A2A"/>
    <w:rsid w:val="622E7F3E"/>
    <w:rsid w:val="626E7A9B"/>
    <w:rsid w:val="628D05B1"/>
    <w:rsid w:val="62912EFB"/>
    <w:rsid w:val="62AF5695"/>
    <w:rsid w:val="62E22996"/>
    <w:rsid w:val="62FA37DC"/>
    <w:rsid w:val="630A469F"/>
    <w:rsid w:val="63116A91"/>
    <w:rsid w:val="635434E3"/>
    <w:rsid w:val="63AB23D8"/>
    <w:rsid w:val="63DD313D"/>
    <w:rsid w:val="63FF8482"/>
    <w:rsid w:val="645A795A"/>
    <w:rsid w:val="64731379"/>
    <w:rsid w:val="649479AB"/>
    <w:rsid w:val="64E3492F"/>
    <w:rsid w:val="652A2923"/>
    <w:rsid w:val="656E2699"/>
    <w:rsid w:val="657D4B0B"/>
    <w:rsid w:val="65E71CF5"/>
    <w:rsid w:val="66215134"/>
    <w:rsid w:val="671C3FB3"/>
    <w:rsid w:val="67347B66"/>
    <w:rsid w:val="67D52F54"/>
    <w:rsid w:val="67F50273"/>
    <w:rsid w:val="67FE589D"/>
    <w:rsid w:val="690921E9"/>
    <w:rsid w:val="691F6EF5"/>
    <w:rsid w:val="6A4946F9"/>
    <w:rsid w:val="6A8C2633"/>
    <w:rsid w:val="6A9F1C21"/>
    <w:rsid w:val="6B237606"/>
    <w:rsid w:val="6B782B8D"/>
    <w:rsid w:val="6B7E6624"/>
    <w:rsid w:val="6B8B7556"/>
    <w:rsid w:val="6BE84077"/>
    <w:rsid w:val="6C52541B"/>
    <w:rsid w:val="6D2F2484"/>
    <w:rsid w:val="6D766A7B"/>
    <w:rsid w:val="6E7F5EC9"/>
    <w:rsid w:val="6F106858"/>
    <w:rsid w:val="6F3E11C0"/>
    <w:rsid w:val="6FB41C53"/>
    <w:rsid w:val="70545BA6"/>
    <w:rsid w:val="723932A5"/>
    <w:rsid w:val="72A245A8"/>
    <w:rsid w:val="743B03A2"/>
    <w:rsid w:val="74AE5D93"/>
    <w:rsid w:val="74AE6E5D"/>
    <w:rsid w:val="75695C4F"/>
    <w:rsid w:val="76412114"/>
    <w:rsid w:val="76A07D97"/>
    <w:rsid w:val="76C81DAD"/>
    <w:rsid w:val="77710078"/>
    <w:rsid w:val="784E211C"/>
    <w:rsid w:val="7901338D"/>
    <w:rsid w:val="793B3DA7"/>
    <w:rsid w:val="79985B15"/>
    <w:rsid w:val="799A287B"/>
    <w:rsid w:val="79EF588B"/>
    <w:rsid w:val="79FB4AEB"/>
    <w:rsid w:val="7A0C1B92"/>
    <w:rsid w:val="7A3C5ED9"/>
    <w:rsid w:val="7A746CA9"/>
    <w:rsid w:val="7A78685F"/>
    <w:rsid w:val="7A9032B8"/>
    <w:rsid w:val="7A9E4782"/>
    <w:rsid w:val="7AE25172"/>
    <w:rsid w:val="7B4707E1"/>
    <w:rsid w:val="7BD857E1"/>
    <w:rsid w:val="7C18217D"/>
    <w:rsid w:val="7C8B2B7D"/>
    <w:rsid w:val="7CDE5175"/>
    <w:rsid w:val="7D4124FE"/>
    <w:rsid w:val="7D656BD2"/>
    <w:rsid w:val="7D6A238F"/>
    <w:rsid w:val="7D9309E6"/>
    <w:rsid w:val="7E5166B5"/>
    <w:rsid w:val="7EA924BF"/>
    <w:rsid w:val="7F5B0CFF"/>
    <w:rsid w:val="7F9845EE"/>
    <w:rsid w:val="7FB3FC6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Times New Roman"/>
      <w:lang w:val="en-US" w:eastAsia="zh-CN" w:bidi="ar-SA"/>
    </w:rPr>
  </w:style>
  <w:style w:type="paragraph" w:styleId="2">
    <w:name w:val="heading 1"/>
    <w:basedOn w:val="1"/>
    <w:next w:val="1"/>
    <w:link w:val="18"/>
    <w:autoRedefine/>
    <w:qFormat/>
    <w:uiPriority w:val="0"/>
    <w:pPr>
      <w:keepNext/>
      <w:keepLines/>
      <w:widowControl w:val="0"/>
      <w:adjustRightInd w:val="0"/>
      <w:spacing w:before="340" w:after="330" w:line="578" w:lineRule="atLeast"/>
      <w:textAlignment w:val="baseline"/>
      <w:outlineLvl w:val="0"/>
    </w:pPr>
    <w:rPr>
      <w:b/>
      <w:bCs/>
      <w:kern w:val="44"/>
      <w:sz w:val="44"/>
      <w:szCs w:val="44"/>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23"/>
    <w:autoRedefine/>
    <w:unhideWhenUsed/>
    <w:qFormat/>
    <w:uiPriority w:val="99"/>
  </w:style>
  <w:style w:type="paragraph" w:styleId="4">
    <w:name w:val="Body Text"/>
    <w:basedOn w:val="1"/>
    <w:autoRedefine/>
    <w:qFormat/>
    <w:uiPriority w:val="0"/>
    <w:pPr>
      <w:spacing w:line="480" w:lineRule="auto"/>
    </w:pPr>
    <w:rPr>
      <w:sz w:val="24"/>
    </w:rPr>
  </w:style>
  <w:style w:type="paragraph" w:styleId="5">
    <w:name w:val="Plain Text"/>
    <w:basedOn w:val="1"/>
    <w:link w:val="19"/>
    <w:autoRedefine/>
    <w:qFormat/>
    <w:uiPriority w:val="0"/>
    <w:pPr>
      <w:widowControl w:val="0"/>
      <w:jc w:val="both"/>
    </w:pPr>
    <w:rPr>
      <w:rFonts w:ascii="宋体" w:hAnsi="Courier New" w:cs="Courier New"/>
      <w:kern w:val="2"/>
      <w:sz w:val="21"/>
      <w:szCs w:val="21"/>
    </w:rPr>
  </w:style>
  <w:style w:type="paragraph" w:styleId="6">
    <w:name w:val="Balloon Text"/>
    <w:basedOn w:val="1"/>
    <w:link w:val="25"/>
    <w:autoRedefine/>
    <w:unhideWhenUsed/>
    <w:qFormat/>
    <w:uiPriority w:val="99"/>
    <w:rPr>
      <w:sz w:val="18"/>
      <w:szCs w:val="18"/>
    </w:rPr>
  </w:style>
  <w:style w:type="paragraph" w:styleId="7">
    <w:name w:val="footer"/>
    <w:basedOn w:val="1"/>
    <w:link w:val="17"/>
    <w:autoRedefine/>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8">
    <w:name w:val="header"/>
    <w:basedOn w:val="1"/>
    <w:link w:val="16"/>
    <w:autoRedefine/>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9">
    <w:name w:val="Normal (Web)"/>
    <w:basedOn w:val="1"/>
    <w:autoRedefine/>
    <w:qFormat/>
    <w:uiPriority w:val="0"/>
    <w:pPr>
      <w:spacing w:before="100" w:beforeAutospacing="1" w:after="100" w:afterAutospacing="1" w:line="560" w:lineRule="exact"/>
      <w:ind w:left="420" w:hanging="420"/>
    </w:pPr>
    <w:rPr>
      <w:rFonts w:ascii="宋体" w:cs="宋体"/>
      <w:sz w:val="24"/>
      <w:szCs w:val="24"/>
    </w:rPr>
  </w:style>
  <w:style w:type="paragraph" w:styleId="10">
    <w:name w:val="annotation subject"/>
    <w:basedOn w:val="3"/>
    <w:next w:val="3"/>
    <w:link w:val="24"/>
    <w:autoRedefine/>
    <w:unhideWhenUsed/>
    <w:qFormat/>
    <w:uiPriority w:val="99"/>
    <w:rPr>
      <w:b/>
      <w:bCs/>
    </w:rPr>
  </w:style>
  <w:style w:type="table" w:styleId="12">
    <w:name w:val="Table Grid"/>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autoRedefine/>
    <w:qFormat/>
    <w:uiPriority w:val="0"/>
  </w:style>
  <w:style w:type="character" w:styleId="15">
    <w:name w:val="annotation reference"/>
    <w:basedOn w:val="13"/>
    <w:autoRedefine/>
    <w:unhideWhenUsed/>
    <w:qFormat/>
    <w:uiPriority w:val="99"/>
    <w:rPr>
      <w:sz w:val="21"/>
      <w:szCs w:val="21"/>
    </w:rPr>
  </w:style>
  <w:style w:type="character" w:customStyle="1" w:styleId="16">
    <w:name w:val="页眉 字符"/>
    <w:basedOn w:val="13"/>
    <w:link w:val="8"/>
    <w:autoRedefine/>
    <w:qFormat/>
    <w:uiPriority w:val="99"/>
    <w:rPr>
      <w:sz w:val="18"/>
      <w:szCs w:val="18"/>
    </w:rPr>
  </w:style>
  <w:style w:type="character" w:customStyle="1" w:styleId="17">
    <w:name w:val="页脚 字符"/>
    <w:basedOn w:val="13"/>
    <w:link w:val="7"/>
    <w:autoRedefine/>
    <w:qFormat/>
    <w:uiPriority w:val="99"/>
    <w:rPr>
      <w:sz w:val="18"/>
      <w:szCs w:val="18"/>
    </w:rPr>
  </w:style>
  <w:style w:type="character" w:customStyle="1" w:styleId="18">
    <w:name w:val="标题 1 字符"/>
    <w:basedOn w:val="13"/>
    <w:link w:val="2"/>
    <w:autoRedefine/>
    <w:qFormat/>
    <w:uiPriority w:val="0"/>
    <w:rPr>
      <w:rFonts w:ascii="Times New Roman" w:hAnsi="Times New Roman" w:eastAsia="宋体" w:cs="Times New Roman"/>
      <w:b/>
      <w:bCs/>
      <w:kern w:val="44"/>
      <w:sz w:val="44"/>
      <w:szCs w:val="44"/>
    </w:rPr>
  </w:style>
  <w:style w:type="character" w:customStyle="1" w:styleId="19">
    <w:name w:val="纯文本 字符"/>
    <w:basedOn w:val="13"/>
    <w:link w:val="5"/>
    <w:autoRedefine/>
    <w:qFormat/>
    <w:uiPriority w:val="0"/>
    <w:rPr>
      <w:rFonts w:ascii="宋体" w:hAnsi="Courier New" w:eastAsia="宋体" w:cs="Courier New"/>
      <w:szCs w:val="21"/>
    </w:rPr>
  </w:style>
  <w:style w:type="paragraph" w:customStyle="1" w:styleId="20">
    <w:name w:val="p0"/>
    <w:basedOn w:val="1"/>
    <w:autoRedefine/>
    <w:qFormat/>
    <w:uiPriority w:val="0"/>
    <w:pPr>
      <w:jc w:val="both"/>
    </w:pPr>
    <w:rPr>
      <w:rFonts w:ascii="Calibri" w:hAnsi="Calibri" w:cs="宋体"/>
      <w:sz w:val="21"/>
      <w:szCs w:val="21"/>
    </w:rPr>
  </w:style>
  <w:style w:type="paragraph" w:customStyle="1" w:styleId="21">
    <w:name w:val="列出段落1"/>
    <w:basedOn w:val="1"/>
    <w:autoRedefine/>
    <w:qFormat/>
    <w:uiPriority w:val="34"/>
    <w:pPr>
      <w:ind w:firstLine="420" w:firstLineChars="200"/>
    </w:pPr>
  </w:style>
  <w:style w:type="paragraph" w:customStyle="1" w:styleId="22">
    <w:name w:val="列出段落11"/>
    <w:basedOn w:val="1"/>
    <w:autoRedefine/>
    <w:qFormat/>
    <w:uiPriority w:val="34"/>
    <w:pPr>
      <w:widowControl w:val="0"/>
      <w:ind w:firstLine="420" w:firstLineChars="200"/>
      <w:jc w:val="both"/>
    </w:pPr>
    <w:rPr>
      <w:kern w:val="2"/>
      <w:sz w:val="24"/>
      <w:szCs w:val="24"/>
    </w:rPr>
  </w:style>
  <w:style w:type="character" w:customStyle="1" w:styleId="23">
    <w:name w:val="批注文字 字符"/>
    <w:basedOn w:val="13"/>
    <w:link w:val="3"/>
    <w:autoRedefine/>
    <w:semiHidden/>
    <w:qFormat/>
    <w:uiPriority w:val="99"/>
    <w:rPr>
      <w:rFonts w:ascii="Times New Roman" w:hAnsi="Times New Roman" w:eastAsia="宋体" w:cs="Times New Roman"/>
      <w:kern w:val="0"/>
      <w:sz w:val="20"/>
      <w:szCs w:val="20"/>
    </w:rPr>
  </w:style>
  <w:style w:type="character" w:customStyle="1" w:styleId="24">
    <w:name w:val="批注主题 字符"/>
    <w:basedOn w:val="23"/>
    <w:link w:val="10"/>
    <w:autoRedefine/>
    <w:semiHidden/>
    <w:qFormat/>
    <w:uiPriority w:val="99"/>
    <w:rPr>
      <w:rFonts w:ascii="Times New Roman" w:hAnsi="Times New Roman" w:eastAsia="宋体" w:cs="Times New Roman"/>
      <w:b/>
      <w:bCs/>
      <w:kern w:val="0"/>
      <w:sz w:val="20"/>
      <w:szCs w:val="20"/>
    </w:rPr>
  </w:style>
  <w:style w:type="character" w:customStyle="1" w:styleId="25">
    <w:name w:val="批注框文本 字符"/>
    <w:basedOn w:val="13"/>
    <w:link w:val="6"/>
    <w:autoRedefine/>
    <w:semiHidden/>
    <w:qFormat/>
    <w:uiPriority w:val="99"/>
    <w:rPr>
      <w:rFonts w:ascii="Times New Roman" w:hAnsi="Times New Roman" w:eastAsia="宋体" w:cs="Times New Roman"/>
      <w:kern w:val="0"/>
      <w:sz w:val="18"/>
      <w:szCs w:val="18"/>
    </w:rPr>
  </w:style>
  <w:style w:type="paragraph" w:customStyle="1" w:styleId="26">
    <w:name w:val="Revision"/>
    <w:autoRedefine/>
    <w:hidden/>
    <w:semiHidden/>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180D64E-8930-4364-85E6-DF761B4FF608}">
  <ds:schemaRefs/>
</ds:datastoreItem>
</file>

<file path=docProps/app.xml><?xml version="1.0" encoding="utf-8"?>
<Properties xmlns="http://schemas.openxmlformats.org/officeDocument/2006/extended-properties" xmlns:vt="http://schemas.openxmlformats.org/officeDocument/2006/docPropsVTypes">
  <Company>Lenovo</Company>
  <Pages>17</Pages>
  <Words>10026</Words>
  <Characters>10743</Characters>
  <Lines>27</Lines>
  <Paragraphs>7</Paragraphs>
  <TotalTime>13</TotalTime>
  <ScaleCrop>false</ScaleCrop>
  <LinksUpToDate>false</LinksUpToDate>
  <CharactersWithSpaces>11071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2014-11-26T11:26:00Z</dcterms:created>
  <dc:creator>薛斌</dc:creator>
  <cp:lastModifiedBy>乌拉</cp:lastModifiedBy>
  <cp:lastPrinted>2023-03-08T13:19:00Z</cp:lastPrinted>
  <dcterms:modified xsi:type="dcterms:W3CDTF">2025-04-07T10:27:31Z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02B0EF8AF7344BD6983199B76F589252_13</vt:lpwstr>
  </property>
  <property fmtid="{D5CDD505-2E9C-101B-9397-08002B2CF9AE}" pid="4" name="KSOTemplateDocerSaveRecord">
    <vt:lpwstr>eyJoZGlkIjoiMDI4OTJjNGEzNzg4NzY2OWI0NzY0YTI1YzY2NWMxZmEiLCJ1c2VySWQiOiI2OTAyODk3MjEifQ==</vt:lpwstr>
  </property>
</Properties>
</file>