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047CD">
      <w:pPr>
        <w:rPr>
          <w:rFonts w:hint="eastAsia"/>
          <w:sz w:val="96"/>
          <w:szCs w:val="144"/>
        </w:rPr>
      </w:pPr>
      <w:r>
        <w:rPr>
          <w:rFonts w:hint="eastAsia"/>
          <w:sz w:val="96"/>
          <w:szCs w:val="144"/>
        </w:rPr>
        <w:t>测试用虚拟项目画堂1亿专包大合同20250109</w:t>
      </w:r>
    </w:p>
    <w:p w14:paraId="312DB76F">
      <w:pPr>
        <w:rPr>
          <w:rFonts w:hint="eastAsia"/>
          <w:sz w:val="96"/>
          <w:szCs w:val="144"/>
          <w:lang w:val="en-US" w:eastAsia="zh-CN"/>
        </w:rPr>
      </w:pP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甲方：通力房产库尔勒二分公司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乙方：通力建设股份公司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566C201F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36</Characters>
  <Lines>0</Lines>
  <Paragraphs>0</Paragraphs>
  <TotalTime>0</TotalTime>
  <ScaleCrop>false</ScaleCrop>
  <LinksUpToDate>false</LinksUpToDate>
  <CharactersWithSpaces>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2025-01-09T10:07:01Z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