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AFA44">
      <w:pPr>
        <w:spacing w:line="360" w:lineRule="auto"/>
        <w:rPr>
          <w:rFonts w:hint="eastAsia" w:ascii="宋体" w:hAnsi="宋体" w:eastAsia="宋体" w:cs="宋体"/>
          <w:b/>
          <w:bCs/>
          <w:sz w:val="24"/>
          <w:szCs w:val="24"/>
          <w:u w:val="single"/>
        </w:rPr>
      </w:pPr>
    </w:p>
    <w:p w14:paraId="5D49AACA">
      <w:pPr>
        <w:spacing w:line="360" w:lineRule="auto"/>
        <w:jc w:val="center"/>
        <w:rPr>
          <w:rFonts w:hint="eastAsia" w:ascii="宋体" w:hAnsi="宋体" w:eastAsia="宋体" w:cs="宋体"/>
          <w:sz w:val="44"/>
          <w:szCs w:val="44"/>
        </w:rPr>
      </w:pPr>
      <w:r>
        <w:rPr>
          <w:rFonts w:hint="eastAsia" w:ascii="宋体" w:hAnsi="宋体" w:cs="宋体"/>
          <w:sz w:val="44"/>
          <w:szCs w:val="44"/>
          <w:lang w:val="en-US" w:eastAsia="zh-CN"/>
        </w:rPr>
        <w:t>莫呼查汗干渠一二级水电站</w:t>
      </w:r>
    </w:p>
    <w:p w14:paraId="5D7E9E25">
      <w:pPr>
        <w:spacing w:line="360" w:lineRule="auto"/>
        <w:jc w:val="center"/>
        <w:rPr>
          <w:rFonts w:hint="eastAsia" w:ascii="宋体" w:hAnsi="宋体" w:eastAsia="宋体" w:cs="宋体"/>
          <w:sz w:val="44"/>
          <w:szCs w:val="44"/>
        </w:rPr>
      </w:pPr>
      <w:r>
        <w:rPr>
          <w:rFonts w:hint="eastAsia" w:ascii="宋体" w:hAnsi="宋体" w:cs="宋体"/>
          <w:sz w:val="44"/>
          <w:szCs w:val="44"/>
          <w:lang w:val="en-US" w:eastAsia="zh-CN"/>
        </w:rPr>
        <w:t>视频拍摄</w:t>
      </w:r>
      <w:r>
        <w:rPr>
          <w:rFonts w:hint="eastAsia" w:ascii="宋体" w:hAnsi="宋体" w:eastAsia="宋体" w:cs="宋体"/>
          <w:sz w:val="44"/>
          <w:szCs w:val="44"/>
        </w:rPr>
        <w:t>合同</w:t>
      </w:r>
    </w:p>
    <w:p w14:paraId="5145564E">
      <w:pPr>
        <w:spacing w:line="360" w:lineRule="auto"/>
        <w:jc w:val="center"/>
        <w:rPr>
          <w:rFonts w:hint="eastAsia" w:ascii="宋体" w:hAnsi="宋体" w:eastAsia="宋体" w:cs="宋体"/>
          <w:sz w:val="24"/>
          <w:szCs w:val="24"/>
        </w:rPr>
      </w:pPr>
    </w:p>
    <w:p w14:paraId="51D5DC68">
      <w:pPr>
        <w:spacing w:line="360" w:lineRule="auto"/>
        <w:jc w:val="both"/>
        <w:rPr>
          <w:rFonts w:hint="eastAsia" w:ascii="宋体" w:hAnsi="宋体" w:eastAsia="宋体" w:cs="宋体"/>
          <w:sz w:val="24"/>
          <w:szCs w:val="24"/>
          <w:lang w:eastAsia="zh-CN"/>
        </w:rPr>
      </w:pPr>
    </w:p>
    <w:p w14:paraId="6D22E170">
      <w:pPr>
        <w:spacing w:line="360" w:lineRule="auto"/>
        <w:jc w:val="center"/>
        <w:rPr>
          <w:rFonts w:hint="eastAsia" w:ascii="宋体" w:hAnsi="宋体" w:eastAsia="宋体" w:cs="宋体"/>
          <w:sz w:val="24"/>
          <w:szCs w:val="24"/>
          <w:lang w:eastAsia="zh-CN"/>
        </w:rPr>
      </w:pPr>
    </w:p>
    <w:p w14:paraId="37733062">
      <w:pPr>
        <w:spacing w:line="360" w:lineRule="auto"/>
        <w:jc w:val="center"/>
        <w:rPr>
          <w:rFonts w:hint="eastAsia" w:ascii="宋体" w:hAnsi="宋体" w:eastAsia="宋体" w:cs="宋体"/>
          <w:sz w:val="24"/>
          <w:szCs w:val="24"/>
          <w:lang w:eastAsia="zh-CN"/>
        </w:rPr>
      </w:pPr>
    </w:p>
    <w:p w14:paraId="4ABB7FF9">
      <w:pPr>
        <w:spacing w:line="360" w:lineRule="auto"/>
        <w:jc w:val="center"/>
        <w:rPr>
          <w:rFonts w:hint="eastAsia" w:ascii="宋体" w:hAnsi="宋体" w:eastAsia="宋体" w:cs="宋体"/>
          <w:sz w:val="24"/>
          <w:szCs w:val="24"/>
          <w:lang w:eastAsia="zh-CN"/>
        </w:rPr>
      </w:pPr>
    </w:p>
    <w:p w14:paraId="168492D9">
      <w:pPr>
        <w:spacing w:line="360" w:lineRule="auto"/>
        <w:jc w:val="center"/>
        <w:rPr>
          <w:rFonts w:hint="eastAsia" w:ascii="宋体" w:hAnsi="宋体" w:eastAsia="宋体" w:cs="宋体"/>
          <w:sz w:val="24"/>
          <w:szCs w:val="24"/>
          <w:lang w:eastAsia="zh-CN"/>
        </w:rPr>
      </w:pPr>
    </w:p>
    <w:p w14:paraId="1D4A27B7">
      <w:pPr>
        <w:spacing w:line="360" w:lineRule="auto"/>
        <w:jc w:val="center"/>
        <w:rPr>
          <w:rFonts w:hint="eastAsia" w:ascii="宋体" w:hAnsi="宋体" w:eastAsia="宋体" w:cs="宋体"/>
          <w:sz w:val="24"/>
          <w:szCs w:val="24"/>
          <w:lang w:eastAsia="zh-CN"/>
        </w:rPr>
      </w:pPr>
    </w:p>
    <w:p w14:paraId="4CD92561">
      <w:pPr>
        <w:spacing w:line="360" w:lineRule="auto"/>
        <w:jc w:val="center"/>
        <w:rPr>
          <w:rFonts w:hint="eastAsia" w:ascii="宋体" w:hAnsi="宋体" w:eastAsia="宋体" w:cs="宋体"/>
          <w:sz w:val="24"/>
          <w:szCs w:val="24"/>
          <w:lang w:eastAsia="zh-CN"/>
        </w:rPr>
      </w:pPr>
    </w:p>
    <w:p w14:paraId="71F70A4C">
      <w:pPr>
        <w:spacing w:line="360" w:lineRule="auto"/>
        <w:jc w:val="center"/>
        <w:rPr>
          <w:rFonts w:hint="eastAsia" w:ascii="宋体" w:hAnsi="宋体" w:eastAsia="宋体" w:cs="宋体"/>
          <w:sz w:val="24"/>
          <w:szCs w:val="24"/>
          <w:lang w:eastAsia="zh-CN"/>
        </w:rPr>
      </w:pPr>
    </w:p>
    <w:p w14:paraId="0600774D">
      <w:pPr>
        <w:spacing w:line="360" w:lineRule="auto"/>
        <w:jc w:val="center"/>
        <w:rPr>
          <w:rFonts w:hint="eastAsia" w:ascii="宋体" w:hAnsi="宋体" w:eastAsia="宋体" w:cs="宋体"/>
          <w:sz w:val="24"/>
          <w:szCs w:val="24"/>
          <w:lang w:eastAsia="zh-CN"/>
        </w:rPr>
      </w:pPr>
    </w:p>
    <w:p w14:paraId="3057FC84">
      <w:pPr>
        <w:spacing w:line="360" w:lineRule="auto"/>
        <w:jc w:val="center"/>
        <w:rPr>
          <w:rFonts w:hint="eastAsia" w:ascii="宋体" w:hAnsi="宋体" w:eastAsia="宋体" w:cs="宋体"/>
          <w:sz w:val="24"/>
          <w:szCs w:val="24"/>
          <w:lang w:eastAsia="zh-CN"/>
        </w:rPr>
      </w:pPr>
    </w:p>
    <w:p w14:paraId="6BE2589E">
      <w:pPr>
        <w:spacing w:line="360" w:lineRule="auto"/>
        <w:jc w:val="center"/>
        <w:rPr>
          <w:rFonts w:hint="eastAsia" w:ascii="宋体" w:hAnsi="宋体" w:eastAsia="宋体" w:cs="宋体"/>
          <w:sz w:val="24"/>
          <w:szCs w:val="24"/>
          <w:lang w:eastAsia="zh-CN"/>
        </w:rPr>
      </w:pPr>
    </w:p>
    <w:p w14:paraId="226FEE9A">
      <w:pPr>
        <w:spacing w:line="360" w:lineRule="auto"/>
        <w:jc w:val="center"/>
        <w:rPr>
          <w:rFonts w:hint="eastAsia" w:ascii="宋体" w:hAnsi="宋体" w:eastAsia="宋体" w:cs="宋体"/>
          <w:sz w:val="24"/>
          <w:szCs w:val="24"/>
          <w:lang w:eastAsia="zh-CN"/>
        </w:rPr>
      </w:pPr>
    </w:p>
    <w:p w14:paraId="7B5BA654">
      <w:pPr>
        <w:spacing w:line="360" w:lineRule="auto"/>
        <w:jc w:val="center"/>
        <w:rPr>
          <w:rFonts w:hint="eastAsia" w:ascii="宋体" w:hAnsi="宋体" w:eastAsia="宋体" w:cs="宋体"/>
          <w:sz w:val="24"/>
          <w:szCs w:val="24"/>
          <w:lang w:eastAsia="zh-CN"/>
        </w:rPr>
      </w:pPr>
    </w:p>
    <w:p w14:paraId="184752AD">
      <w:pPr>
        <w:spacing w:line="360" w:lineRule="auto"/>
        <w:jc w:val="center"/>
        <w:rPr>
          <w:rFonts w:hint="eastAsia" w:ascii="宋体" w:hAnsi="宋体" w:eastAsia="宋体" w:cs="宋体"/>
          <w:sz w:val="24"/>
          <w:szCs w:val="24"/>
          <w:lang w:eastAsia="zh-CN"/>
        </w:rPr>
      </w:pPr>
    </w:p>
    <w:p w14:paraId="367F32F3">
      <w:pPr>
        <w:spacing w:line="360" w:lineRule="auto"/>
        <w:ind w:firstLine="720" w:firstLineChars="300"/>
        <w:rPr>
          <w:rFonts w:hint="default" w:ascii="宋体" w:hAnsi="宋体" w:eastAsia="宋体" w:cs="宋体"/>
          <w:sz w:val="24"/>
          <w:szCs w:val="24"/>
          <w:u w:val="single"/>
          <w:lang w:val="en-US" w:eastAsia="zh-CN"/>
        </w:rPr>
      </w:pPr>
      <w:r>
        <w:rPr>
          <w:rFonts w:hint="eastAsia" w:ascii="宋体" w:hAnsi="宋体" w:eastAsia="宋体" w:cs="宋体"/>
          <w:sz w:val="24"/>
          <w:szCs w:val="24"/>
        </w:rPr>
        <w:t>项  目  名  称：</w:t>
      </w:r>
      <w:r>
        <w:rPr>
          <w:rFonts w:hint="eastAsia" w:ascii="宋体" w:hAnsi="宋体" w:cs="宋体"/>
          <w:sz w:val="24"/>
          <w:szCs w:val="24"/>
          <w:u w:val="single"/>
          <w:lang w:val="en-US" w:eastAsia="zh-CN"/>
        </w:rPr>
        <w:t>莫呼查汗干渠一二级水电站</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p>
    <w:p w14:paraId="08248D2C">
      <w:pPr>
        <w:spacing w:line="360" w:lineRule="auto"/>
        <w:ind w:firstLine="720" w:firstLineChars="300"/>
        <w:rPr>
          <w:rFonts w:hint="eastAsia" w:ascii="宋体" w:hAnsi="宋体" w:eastAsia="宋体" w:cs="宋体"/>
          <w:sz w:val="24"/>
          <w:szCs w:val="24"/>
          <w:u w:val="single"/>
          <w:lang w:val="en-US" w:eastAsia="zh-CN"/>
        </w:rPr>
      </w:pPr>
      <w:r>
        <w:rPr>
          <w:rFonts w:hint="eastAsia" w:ascii="宋体" w:hAnsi="宋体" w:eastAsia="宋体" w:cs="宋体"/>
          <w:sz w:val="24"/>
          <w:szCs w:val="24"/>
        </w:rPr>
        <w:t>发    包    方：</w:t>
      </w:r>
      <w:r>
        <w:rPr>
          <w:rFonts w:hint="eastAsia" w:ascii="宋体" w:hAnsi="宋体" w:cs="宋体"/>
          <w:sz w:val="24"/>
          <w:szCs w:val="24"/>
          <w:u w:val="single"/>
          <w:lang w:val="en-US" w:eastAsia="zh-CN"/>
        </w:rPr>
        <w:t>巴州温和水电开发有限公司</w:t>
      </w:r>
    </w:p>
    <w:p w14:paraId="321A3973">
      <w:pPr>
        <w:spacing w:line="360" w:lineRule="auto"/>
        <w:ind w:firstLine="720" w:firstLineChars="300"/>
        <w:rPr>
          <w:rFonts w:hint="default" w:ascii="宋体" w:hAnsi="宋体" w:eastAsia="宋体" w:cs="宋体"/>
          <w:sz w:val="24"/>
          <w:szCs w:val="24"/>
          <w:u w:val="single"/>
          <w:lang w:val="en-US"/>
        </w:rPr>
      </w:pPr>
      <w:r>
        <w:rPr>
          <w:rFonts w:hint="eastAsia" w:ascii="宋体" w:hAnsi="宋体" w:eastAsia="宋体" w:cs="宋体"/>
          <w:sz w:val="24"/>
          <w:szCs w:val="24"/>
        </w:rPr>
        <w:t>承    包    方：</w:t>
      </w:r>
      <w:r>
        <w:rPr>
          <w:rFonts w:hint="eastAsia" w:ascii="宋体" w:hAnsi="宋体" w:cs="宋体"/>
          <w:sz w:val="24"/>
          <w:szCs w:val="24"/>
          <w:u w:val="single"/>
          <w:lang w:val="en-US" w:eastAsia="zh-CN"/>
        </w:rPr>
        <w:t xml:space="preserve">库尔勒成交互动文化传媒有限公司          </w:t>
      </w:r>
    </w:p>
    <w:p w14:paraId="4EEE9817">
      <w:pPr>
        <w:spacing w:line="360" w:lineRule="auto"/>
        <w:ind w:firstLine="720" w:firstLineChars="300"/>
        <w:rPr>
          <w:rFonts w:hint="default" w:ascii="宋体" w:hAnsi="宋体" w:eastAsia="宋体" w:cs="宋体"/>
          <w:b/>
          <w:color w:val="000000"/>
          <w:sz w:val="24"/>
          <w:szCs w:val="24"/>
          <w:lang w:val="en-US" w:eastAsia="zh-CN"/>
        </w:rPr>
        <w:sectPr>
          <w:headerReference r:id="rId5" w:type="first"/>
          <w:headerReference r:id="rId3" w:type="default"/>
          <w:footerReference r:id="rId6" w:type="default"/>
          <w:headerReference r:id="rId4" w:type="even"/>
          <w:footerReference r:id="rId7" w:type="even"/>
          <w:pgSz w:w="11906" w:h="16838"/>
          <w:pgMar w:top="1440" w:right="1558" w:bottom="1372" w:left="1800" w:header="851" w:footer="992" w:gutter="0"/>
          <w:cols w:space="425" w:num="1"/>
          <w:docGrid w:type="lines" w:linePitch="312" w:charSpace="0"/>
        </w:sectPr>
      </w:pPr>
      <w:r>
        <w:rPr>
          <w:rFonts w:hint="eastAsia" w:ascii="宋体" w:hAnsi="宋体" w:eastAsia="宋体" w:cs="宋体"/>
          <w:sz w:val="24"/>
          <w:szCs w:val="24"/>
        </w:rPr>
        <w:t>日          期：</w:t>
      </w:r>
      <w:r>
        <w:rPr>
          <w:rFonts w:hint="eastAsia" w:ascii="宋体" w:hAnsi="宋体" w:eastAsia="宋体" w:cs="宋体"/>
          <w:sz w:val="24"/>
          <w:szCs w:val="24"/>
          <w:u w:val="single"/>
        </w:rPr>
        <w:t xml:space="preserve"> 20</w:t>
      </w:r>
      <w:r>
        <w:rPr>
          <w:rFonts w:hint="eastAsia" w:ascii="宋体" w:hAnsi="宋体" w:cs="宋体"/>
          <w:sz w:val="24"/>
          <w:szCs w:val="24"/>
          <w:u w:val="single"/>
          <w:lang w:val="en-US" w:eastAsia="zh-CN"/>
        </w:rPr>
        <w:t>25</w:t>
      </w:r>
      <w:r>
        <w:rPr>
          <w:rFonts w:hint="eastAsia" w:ascii="宋体" w:hAnsi="宋体" w:eastAsia="宋体" w:cs="宋体"/>
          <w:sz w:val="24"/>
          <w:szCs w:val="24"/>
          <w:u w:val="single"/>
        </w:rPr>
        <w:t>年</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月</w:t>
      </w:r>
      <w:r>
        <w:rPr>
          <w:rFonts w:hint="eastAsia" w:ascii="宋体" w:hAnsi="宋体" w:cs="宋体"/>
          <w:sz w:val="24"/>
          <w:szCs w:val="24"/>
          <w:u w:val="single"/>
          <w:lang w:val="en-US" w:eastAsia="zh-CN"/>
        </w:rPr>
        <w:t>10</w:t>
      </w:r>
      <w:r>
        <w:rPr>
          <w:rFonts w:hint="eastAsia" w:ascii="宋体" w:hAnsi="宋体" w:eastAsia="宋体" w:cs="宋体"/>
          <w:sz w:val="24"/>
          <w:szCs w:val="24"/>
          <w:u w:val="single"/>
        </w:rPr>
        <w:t xml:space="preserve">日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p>
    <w:p w14:paraId="476F780F">
      <w:p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发包方（以下简称甲方）：</w:t>
      </w:r>
      <w:r>
        <w:rPr>
          <w:rFonts w:hint="eastAsia" w:ascii="宋体" w:hAnsi="宋体" w:cs="宋体"/>
          <w:sz w:val="24"/>
          <w:szCs w:val="24"/>
          <w:u w:val="single"/>
          <w:lang w:val="en-US" w:eastAsia="zh-CN"/>
        </w:rPr>
        <w:t>巴州温和水电开发有限公司</w:t>
      </w:r>
    </w:p>
    <w:p w14:paraId="2E912A65">
      <w:pPr>
        <w:spacing w:line="360" w:lineRule="auto"/>
        <w:ind w:firstLine="480" w:firstLineChars="200"/>
        <w:rPr>
          <w:rFonts w:hint="default" w:ascii="宋体" w:hAnsi="宋体" w:eastAsia="宋体" w:cs="宋体"/>
          <w:sz w:val="24"/>
          <w:szCs w:val="24"/>
          <w:u w:val="single"/>
          <w:lang w:val="en-US" w:eastAsia="zh-CN"/>
        </w:rPr>
      </w:pPr>
      <w:r>
        <w:rPr>
          <w:rFonts w:hint="eastAsia" w:ascii="宋体" w:hAnsi="宋体" w:eastAsia="宋体" w:cs="宋体"/>
          <w:sz w:val="24"/>
          <w:szCs w:val="24"/>
        </w:rPr>
        <w:t>承包方（以下简称乙方）：</w:t>
      </w:r>
      <w:r>
        <w:rPr>
          <w:rFonts w:hint="eastAsia" w:ascii="宋体" w:hAnsi="宋体" w:cs="宋体"/>
          <w:sz w:val="24"/>
          <w:szCs w:val="24"/>
          <w:u w:val="single"/>
          <w:lang w:val="en-US" w:eastAsia="zh-CN"/>
        </w:rPr>
        <w:t>库尔勒成交互动文化传媒有限公司</w:t>
      </w:r>
      <w:r>
        <w:rPr>
          <w:rFonts w:hint="eastAsia" w:ascii="宋体" w:hAnsi="宋体" w:eastAsia="宋体" w:cs="宋体"/>
          <w:sz w:val="24"/>
          <w:szCs w:val="24"/>
          <w:u w:val="single"/>
          <w:shd w:val="solid" w:color="FFFFFF" w:fill="auto"/>
        </w:rPr>
        <w:t xml:space="preserve">   </w:t>
      </w:r>
      <w:r>
        <w:rPr>
          <w:rFonts w:hint="eastAsia" w:ascii="宋体" w:hAnsi="宋体" w:cs="宋体"/>
          <w:sz w:val="24"/>
          <w:szCs w:val="24"/>
          <w:u w:val="single"/>
          <w:shd w:val="solid" w:color="FFFFFF" w:fill="auto"/>
          <w:lang w:val="en-US" w:eastAsia="zh-CN"/>
        </w:rPr>
        <w:t xml:space="preserve">         </w:t>
      </w:r>
    </w:p>
    <w:p w14:paraId="1826EA1A">
      <w:pPr>
        <w:spacing w:line="360" w:lineRule="auto"/>
        <w:ind w:firstLine="480" w:firstLineChars="200"/>
        <w:rPr>
          <w:rFonts w:hint="eastAsia" w:ascii="宋体" w:hAnsi="宋体" w:eastAsia="宋体" w:cs="宋体"/>
          <w:sz w:val="24"/>
          <w:szCs w:val="24"/>
          <w:u w:val="single"/>
        </w:rPr>
      </w:pPr>
    </w:p>
    <w:p w14:paraId="6E24ACC1">
      <w:pPr>
        <w:spacing w:line="360" w:lineRule="auto"/>
        <w:ind w:firstLine="480" w:firstLineChars="200"/>
        <w:rPr>
          <w:rFonts w:hint="eastAsia" w:ascii="宋体" w:hAnsi="宋体" w:eastAsia="宋体" w:cs="宋体"/>
          <w:b/>
          <w:bCs/>
          <w:sz w:val="24"/>
          <w:szCs w:val="24"/>
        </w:rPr>
      </w:pPr>
      <w:r>
        <w:rPr>
          <w:rFonts w:hint="eastAsia" w:ascii="宋体" w:hAnsi="宋体" w:eastAsia="宋体" w:cs="宋体"/>
          <w:sz w:val="24"/>
          <w:szCs w:val="24"/>
        </w:rPr>
        <w:t>甲乙双方根据《中华人民共和国民法典》《中华人民共和国广告法》、《广告管理条例》等有关法律、法规的规定，经友好协商，就甲方</w:t>
      </w:r>
      <w:r>
        <w:rPr>
          <w:rFonts w:hint="eastAsia" w:ascii="宋体" w:hAnsi="宋体" w:cs="宋体"/>
          <w:sz w:val="24"/>
          <w:szCs w:val="24"/>
          <w:lang w:val="en-US" w:eastAsia="zh-CN"/>
        </w:rPr>
        <w:t>合作</w:t>
      </w:r>
      <w:r>
        <w:rPr>
          <w:rFonts w:hint="eastAsia" w:ascii="宋体" w:hAnsi="宋体" w:eastAsia="宋体" w:cs="宋体"/>
          <w:sz w:val="24"/>
          <w:szCs w:val="24"/>
        </w:rPr>
        <w:t>事宜达成如下条款。</w:t>
      </w:r>
    </w:p>
    <w:p w14:paraId="16F0AE50">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一、广告合作项目</w:t>
      </w:r>
    </w:p>
    <w:p w14:paraId="4FD2D6E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本次广告合作项目：乙方为甲方提供</w:t>
      </w:r>
      <w:r>
        <w:rPr>
          <w:rFonts w:hint="eastAsia" w:ascii="宋体" w:hAnsi="宋体" w:cs="宋体"/>
          <w:sz w:val="24"/>
          <w:szCs w:val="24"/>
          <w:u w:val="single"/>
          <w:lang w:val="en-US" w:eastAsia="zh-CN"/>
        </w:rPr>
        <w:t>视频拍摄剪辑</w:t>
      </w:r>
      <w:r>
        <w:rPr>
          <w:rFonts w:hint="eastAsia" w:ascii="宋体" w:hAnsi="宋体" w:eastAsia="宋体" w:cs="宋体"/>
          <w:sz w:val="24"/>
          <w:szCs w:val="24"/>
          <w:u w:val="single"/>
        </w:rPr>
        <w:t>服务</w:t>
      </w:r>
      <w:r>
        <w:rPr>
          <w:rFonts w:hint="eastAsia" w:ascii="宋体" w:hAnsi="宋体" w:eastAsia="宋体" w:cs="宋体"/>
          <w:sz w:val="24"/>
          <w:szCs w:val="24"/>
        </w:rPr>
        <w:t>。</w:t>
      </w:r>
    </w:p>
    <w:p w14:paraId="63A71ECF">
      <w:pPr>
        <w:numPr>
          <w:ilvl w:val="0"/>
          <w:numId w:val="1"/>
        </w:numPr>
        <w:spacing w:line="360" w:lineRule="auto"/>
        <w:ind w:firstLine="482" w:firstLineChars="200"/>
        <w:jc w:val="left"/>
        <w:rPr>
          <w:rFonts w:hint="eastAsia" w:ascii="宋体" w:hAnsi="宋体" w:eastAsia="宋体" w:cs="宋体"/>
          <w:b/>
          <w:sz w:val="24"/>
          <w:szCs w:val="24"/>
        </w:rPr>
      </w:pPr>
      <w:r>
        <w:rPr>
          <w:rFonts w:hint="eastAsia" w:ascii="宋体" w:hAnsi="宋体" w:eastAsia="宋体" w:cs="宋体"/>
          <w:b/>
          <w:sz w:val="24"/>
          <w:szCs w:val="24"/>
        </w:rPr>
        <w:t>广告合作主要内容</w:t>
      </w:r>
    </w:p>
    <w:p w14:paraId="60F435DC">
      <w:pPr>
        <w:spacing w:line="360" w:lineRule="auto"/>
        <w:ind w:firstLine="480" w:firstLineChars="200"/>
        <w:jc w:val="left"/>
        <w:rPr>
          <w:rFonts w:hint="eastAsia" w:ascii="宋体" w:hAnsi="宋体" w:eastAsia="宋体" w:cs="宋体"/>
          <w:b/>
          <w:bCs/>
          <w:sz w:val="24"/>
          <w:szCs w:val="24"/>
          <w:u w:val="single"/>
          <w:lang w:eastAsia="zh-CN"/>
        </w:rPr>
      </w:pPr>
      <w:r>
        <w:rPr>
          <w:rFonts w:hint="eastAsia" w:ascii="宋体" w:hAnsi="宋体" w:cs="宋体"/>
          <w:sz w:val="24"/>
          <w:szCs w:val="24"/>
          <w:u w:val="none"/>
          <w:lang w:val="en-US" w:eastAsia="zh-CN"/>
        </w:rPr>
        <w:t>莫呼查汗干渠一二级水电站</w:t>
      </w:r>
      <w:r>
        <w:rPr>
          <w:rFonts w:hint="eastAsia" w:ascii="宋体" w:hAnsi="宋体" w:cs="宋体"/>
          <w:sz w:val="24"/>
          <w:szCs w:val="24"/>
          <w:lang w:val="en-US" w:eastAsia="zh-CN"/>
        </w:rPr>
        <w:t>项目</w:t>
      </w:r>
      <w:r>
        <w:rPr>
          <w:rFonts w:hint="eastAsia" w:ascii="宋体" w:hAnsi="宋体" w:cs="宋体"/>
          <w:b/>
          <w:bCs/>
          <w:sz w:val="24"/>
          <w:szCs w:val="24"/>
          <w:u w:val="single"/>
          <w:lang w:val="en-US" w:eastAsia="zh-CN"/>
        </w:rPr>
        <w:t>视频1条（分辨率不低于2k），展示整个园区的概况、每间厂房拍摄、重点工作环节的连续过程、园区工作亮点部位的详细介绍、工人严格按照流程工作的片段、园区整体效果的呈现、根据脚本内容剪辑视频+特效制作+BGM</w:t>
      </w:r>
      <w:bookmarkStart w:id="0" w:name="_GoBack"/>
      <w:bookmarkEnd w:id="0"/>
      <w:r>
        <w:rPr>
          <w:rFonts w:hint="eastAsia" w:ascii="宋体" w:hAnsi="宋体" w:cs="宋体"/>
          <w:b/>
          <w:bCs/>
          <w:sz w:val="24"/>
          <w:szCs w:val="24"/>
          <w:u w:val="single"/>
          <w:lang w:val="en-US" w:eastAsia="zh-CN"/>
        </w:rPr>
        <w:t>、根据视频脚本进行旁白配音</w:t>
      </w:r>
      <w:r>
        <w:rPr>
          <w:rFonts w:hint="eastAsia" w:ascii="宋体" w:hAnsi="宋体" w:cs="宋体"/>
          <w:b/>
          <w:bCs/>
          <w:sz w:val="24"/>
          <w:szCs w:val="24"/>
          <w:u w:val="single"/>
          <w:lang w:eastAsia="zh-CN"/>
        </w:rPr>
        <w:t>。</w:t>
      </w:r>
    </w:p>
    <w:p w14:paraId="5BC5B4DE">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合作优惠执行价</w:t>
      </w:r>
      <w:r>
        <w:rPr>
          <w:rFonts w:hint="eastAsia" w:ascii="宋体" w:hAnsi="宋体" w:eastAsia="宋体" w:cs="宋体"/>
          <w:sz w:val="24"/>
          <w:szCs w:val="24"/>
        </w:rPr>
        <w:t>为（含税）：人民币</w:t>
      </w:r>
      <w:r>
        <w:rPr>
          <w:rFonts w:hint="eastAsia" w:ascii="宋体" w:hAnsi="宋体" w:cs="宋体"/>
          <w:sz w:val="24"/>
          <w:szCs w:val="24"/>
          <w:u w:val="single"/>
          <w:lang w:val="en-US" w:eastAsia="zh-CN"/>
        </w:rPr>
        <w:t>10000</w:t>
      </w:r>
      <w:r>
        <w:rPr>
          <w:rFonts w:hint="eastAsia" w:ascii="宋体" w:hAnsi="宋体" w:eastAsia="宋体" w:cs="宋体"/>
          <w:sz w:val="24"/>
          <w:szCs w:val="24"/>
        </w:rPr>
        <w:t>元（大写:</w:t>
      </w:r>
      <w:r>
        <w:rPr>
          <w:rFonts w:hint="eastAsia" w:ascii="宋体" w:hAnsi="宋体" w:cs="宋体"/>
          <w:sz w:val="24"/>
          <w:szCs w:val="24"/>
          <w:u w:val="single"/>
          <w:lang w:val="en-US" w:eastAsia="zh-CN"/>
        </w:rPr>
        <w:t>壹万</w:t>
      </w:r>
      <w:r>
        <w:rPr>
          <w:rFonts w:hint="eastAsia" w:ascii="宋体" w:hAnsi="宋体" w:eastAsia="宋体" w:cs="宋体"/>
          <w:sz w:val="24"/>
          <w:szCs w:val="24"/>
          <w:u w:val="single"/>
          <w:lang w:val="en-US" w:eastAsia="zh-CN"/>
        </w:rPr>
        <w:t>元整</w:t>
      </w:r>
      <w:r>
        <w:rPr>
          <w:rFonts w:hint="eastAsia" w:ascii="宋体" w:hAnsi="宋体" w:eastAsia="宋体" w:cs="宋体"/>
          <w:sz w:val="24"/>
          <w:szCs w:val="24"/>
        </w:rPr>
        <w:t>）；</w:t>
      </w:r>
    </w:p>
    <w:p w14:paraId="7C26551A">
      <w:pPr>
        <w:spacing w:line="360" w:lineRule="auto"/>
        <w:ind w:firstLine="482" w:firstLineChars="200"/>
        <w:jc w:val="left"/>
        <w:rPr>
          <w:rFonts w:hint="eastAsia" w:ascii="宋体" w:hAnsi="宋体" w:eastAsia="宋体" w:cs="宋体"/>
          <w:b/>
          <w:bCs/>
          <w:sz w:val="24"/>
          <w:szCs w:val="24"/>
        </w:rPr>
      </w:pPr>
      <w:r>
        <w:rPr>
          <w:rFonts w:hint="eastAsia" w:ascii="宋体" w:hAnsi="宋体" w:cs="宋体"/>
          <w:b/>
          <w:bCs/>
          <w:sz w:val="24"/>
          <w:szCs w:val="24"/>
          <w:lang w:val="en-US" w:eastAsia="zh-CN"/>
        </w:rPr>
        <w:t>三</w:t>
      </w:r>
      <w:r>
        <w:rPr>
          <w:rFonts w:hint="eastAsia" w:ascii="宋体" w:hAnsi="宋体" w:eastAsia="宋体" w:cs="宋体"/>
          <w:b/>
          <w:bCs/>
          <w:sz w:val="24"/>
          <w:szCs w:val="24"/>
        </w:rPr>
        <w:t>、合同期限及合同价款</w:t>
      </w:r>
    </w:p>
    <w:p w14:paraId="1CBD63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1、合同期限：</w:t>
      </w:r>
    </w:p>
    <w:p w14:paraId="06628B6F">
      <w:pPr>
        <w:spacing w:line="360" w:lineRule="auto"/>
        <w:ind w:firstLine="480" w:firstLineChars="200"/>
        <w:rPr>
          <w:rFonts w:hint="default" w:ascii="宋体" w:hAnsi="宋体" w:eastAsia="宋体" w:cs="宋体"/>
          <w:color w:val="2413E2"/>
          <w:sz w:val="24"/>
          <w:szCs w:val="24"/>
          <w:lang w:val="en-US" w:eastAsia="zh-CN"/>
        </w:rPr>
      </w:pPr>
      <w:r>
        <w:rPr>
          <w:rFonts w:hint="eastAsia" w:ascii="宋体" w:hAnsi="宋体" w:cs="宋体"/>
          <w:sz w:val="24"/>
          <w:szCs w:val="24"/>
          <w:lang w:val="en-US" w:eastAsia="zh-CN"/>
        </w:rPr>
        <w:t>2025年2月15日至2025年4月31日。</w:t>
      </w:r>
    </w:p>
    <w:p w14:paraId="7F96CD9E">
      <w:pPr>
        <w:numPr>
          <w:ilvl w:val="0"/>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合同价款</w:t>
      </w:r>
    </w:p>
    <w:p w14:paraId="66FCF046">
      <w:pPr>
        <w:keepNext w:val="0"/>
        <w:keepLines w:val="0"/>
        <w:widowControl/>
        <w:suppressLineNumbers w:val="0"/>
        <w:ind w:firstLine="480" w:firstLineChars="200"/>
        <w:jc w:val="left"/>
        <w:rPr>
          <w:rFonts w:hint="default" w:ascii="宋体" w:hAnsi="宋体" w:eastAsia="宋体" w:cs="宋体"/>
          <w:sz w:val="24"/>
          <w:szCs w:val="24"/>
          <w:lang w:val="en-US"/>
        </w:rPr>
      </w:pPr>
      <w:r>
        <w:rPr>
          <w:rFonts w:hint="eastAsia" w:ascii="宋体" w:hAnsi="宋体" w:eastAsia="宋体" w:cs="宋体"/>
          <w:sz w:val="24"/>
          <w:szCs w:val="24"/>
        </w:rPr>
        <w:t>合同期限内合同总价款含税为：</w:t>
      </w:r>
      <w:r>
        <w:rPr>
          <w:rFonts w:hint="eastAsia" w:ascii="宋体" w:hAnsi="宋体" w:cs="宋体"/>
          <w:sz w:val="24"/>
          <w:szCs w:val="24"/>
          <w:lang w:val="en-US" w:eastAsia="zh-CN"/>
        </w:rPr>
        <w:t>本合同固定总价</w:t>
      </w:r>
      <w:r>
        <w:rPr>
          <w:rFonts w:hint="eastAsia" w:ascii="宋体" w:hAnsi="宋体" w:eastAsia="宋体" w:cs="宋体"/>
          <w:sz w:val="24"/>
          <w:szCs w:val="24"/>
        </w:rPr>
        <w:t>人民币</w:t>
      </w:r>
      <w:r>
        <w:rPr>
          <w:rFonts w:hint="eastAsia" w:ascii="宋体" w:hAnsi="宋体" w:cs="宋体"/>
          <w:sz w:val="24"/>
          <w:szCs w:val="24"/>
          <w:u w:val="single"/>
          <w:lang w:val="en-US" w:eastAsia="zh-CN"/>
        </w:rPr>
        <w:t>10000</w:t>
      </w:r>
      <w:r>
        <w:rPr>
          <w:rFonts w:hint="eastAsia" w:ascii="宋体" w:hAnsi="宋体" w:eastAsia="宋体" w:cs="宋体"/>
          <w:sz w:val="24"/>
          <w:szCs w:val="24"/>
        </w:rPr>
        <w:t>元（大写:</w:t>
      </w:r>
      <w:r>
        <w:rPr>
          <w:rFonts w:hint="eastAsia" w:ascii="宋体" w:hAnsi="宋体" w:cs="宋体"/>
          <w:sz w:val="24"/>
          <w:szCs w:val="24"/>
          <w:u w:val="single"/>
          <w:lang w:val="en-US" w:eastAsia="zh-CN"/>
        </w:rPr>
        <w:t>壹万</w:t>
      </w:r>
      <w:r>
        <w:rPr>
          <w:rFonts w:hint="eastAsia" w:ascii="宋体" w:hAnsi="宋体" w:eastAsia="宋体" w:cs="宋体"/>
          <w:sz w:val="24"/>
          <w:szCs w:val="24"/>
          <w:u w:val="single"/>
          <w:lang w:val="en-US" w:eastAsia="zh-CN"/>
        </w:rPr>
        <w:t>元整</w:t>
      </w:r>
      <w:r>
        <w:rPr>
          <w:rFonts w:hint="eastAsia" w:ascii="宋体" w:hAnsi="宋体" w:eastAsia="宋体" w:cs="宋体"/>
          <w:sz w:val="24"/>
          <w:szCs w:val="24"/>
        </w:rPr>
        <w:t>）</w:t>
      </w:r>
      <w:r>
        <w:rPr>
          <w:rFonts w:hint="eastAsia" w:ascii="宋体" w:hAnsi="宋体" w:cs="宋体"/>
          <w:sz w:val="24"/>
          <w:szCs w:val="24"/>
          <w:lang w:val="en-US" w:eastAsia="zh-CN"/>
        </w:rPr>
        <w:t>该价款包含为完成合同工作内容所需的全部费用，</w:t>
      </w:r>
      <w:r>
        <w:rPr>
          <w:rFonts w:hint="eastAsia" w:ascii="宋体" w:hAnsi="宋体" w:eastAsia="宋体" w:cs="宋体"/>
          <w:sz w:val="24"/>
          <w:szCs w:val="24"/>
          <w:lang w:val="en-US" w:eastAsia="zh-CN"/>
        </w:rPr>
        <w:t>乙方需</w:t>
      </w:r>
      <w:r>
        <w:rPr>
          <w:rFonts w:hint="eastAsia" w:ascii="宋体" w:hAnsi="宋体" w:cs="宋体"/>
          <w:sz w:val="24"/>
          <w:szCs w:val="24"/>
          <w:lang w:val="en-US" w:eastAsia="zh-CN"/>
        </w:rPr>
        <w:t>向甲方开具等额的增值税普通电子发票。</w:t>
      </w:r>
    </w:p>
    <w:p w14:paraId="1C9BA7A3">
      <w:pPr>
        <w:numPr>
          <w:ilvl w:val="0"/>
          <w:numId w:val="0"/>
        </w:numPr>
        <w:spacing w:line="360" w:lineRule="auto"/>
        <w:ind w:firstLine="482" w:firstLineChars="200"/>
        <w:rPr>
          <w:rFonts w:hint="eastAsia" w:ascii="宋体" w:hAnsi="宋体" w:eastAsia="宋体" w:cs="宋体"/>
          <w:b/>
          <w:bCs/>
          <w:sz w:val="24"/>
          <w:szCs w:val="24"/>
        </w:rPr>
      </w:pPr>
      <w:r>
        <w:rPr>
          <w:rFonts w:hint="eastAsia" w:ascii="宋体" w:hAnsi="宋体" w:cs="宋体"/>
          <w:b/>
          <w:bCs/>
          <w:kern w:val="2"/>
          <w:sz w:val="24"/>
          <w:szCs w:val="24"/>
          <w:lang w:val="en-US" w:eastAsia="zh-CN" w:bidi="ar-SA"/>
        </w:rPr>
        <w:t>四</w:t>
      </w:r>
      <w:r>
        <w:rPr>
          <w:rFonts w:hint="eastAsia" w:ascii="宋体" w:hAnsi="宋体" w:eastAsia="宋体" w:cs="宋体"/>
          <w:b/>
          <w:bCs/>
          <w:kern w:val="2"/>
          <w:sz w:val="24"/>
          <w:szCs w:val="24"/>
          <w:lang w:val="en-US" w:eastAsia="zh-CN" w:bidi="ar-SA"/>
        </w:rPr>
        <w:t>、</w:t>
      </w:r>
      <w:r>
        <w:rPr>
          <w:rFonts w:hint="eastAsia" w:ascii="宋体" w:hAnsi="宋体" w:eastAsia="宋体" w:cs="宋体"/>
          <w:b/>
          <w:bCs/>
          <w:sz w:val="24"/>
          <w:szCs w:val="24"/>
        </w:rPr>
        <w:t>付款方式及期限：</w:t>
      </w:r>
    </w:p>
    <w:p w14:paraId="0E4C07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1、付款方式：</w:t>
      </w:r>
      <w:r>
        <w:rPr>
          <w:rFonts w:hint="eastAsia" w:ascii="宋体" w:hAnsi="宋体" w:cs="宋体"/>
          <w:sz w:val="24"/>
          <w:szCs w:val="24"/>
          <w:u w:val="single"/>
          <w:lang w:val="en-US" w:eastAsia="zh-CN"/>
        </w:rPr>
        <w:t>对公</w:t>
      </w:r>
      <w:r>
        <w:rPr>
          <w:rFonts w:hint="eastAsia" w:ascii="宋体" w:hAnsi="宋体" w:eastAsia="宋体" w:cs="宋体"/>
          <w:sz w:val="24"/>
          <w:szCs w:val="24"/>
          <w:u w:val="single"/>
        </w:rPr>
        <w:t>转账</w:t>
      </w:r>
    </w:p>
    <w:p w14:paraId="5B3CC322">
      <w:pPr>
        <w:numPr>
          <w:ilvl w:val="0"/>
          <w:numId w:val="0"/>
        </w:num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付款时间</w:t>
      </w:r>
      <w:r>
        <w:rPr>
          <w:rFonts w:hint="eastAsia" w:ascii="宋体" w:hAnsi="宋体" w:cs="宋体"/>
          <w:sz w:val="24"/>
          <w:szCs w:val="24"/>
          <w:lang w:val="en-US" w:eastAsia="zh-CN"/>
        </w:rPr>
        <w:t>：合同签订后，预付40%费用，即</w:t>
      </w:r>
      <w:r>
        <w:rPr>
          <w:rFonts w:hint="eastAsia" w:ascii="宋体" w:hAnsi="宋体" w:cs="宋体"/>
          <w:sz w:val="24"/>
          <w:szCs w:val="24"/>
          <w:u w:val="single"/>
          <w:lang w:val="en-US" w:eastAsia="zh-CN"/>
        </w:rPr>
        <w:t>4000元</w:t>
      </w:r>
      <w:r>
        <w:rPr>
          <w:rFonts w:hint="eastAsia" w:ascii="宋体" w:hAnsi="宋体" w:cs="宋体"/>
          <w:sz w:val="24"/>
          <w:szCs w:val="24"/>
          <w:lang w:val="en-US" w:eastAsia="zh-CN"/>
        </w:rPr>
        <w:t>，视频拍摄剪辑完成，由甲方验收合格后，支付剩余60%费用即</w:t>
      </w:r>
      <w:r>
        <w:rPr>
          <w:rFonts w:hint="eastAsia" w:ascii="宋体" w:hAnsi="宋体" w:cs="宋体"/>
          <w:sz w:val="24"/>
          <w:szCs w:val="24"/>
          <w:u w:val="single"/>
          <w:lang w:val="en-US" w:eastAsia="zh-CN"/>
        </w:rPr>
        <w:t>6000元</w:t>
      </w:r>
      <w:r>
        <w:rPr>
          <w:rFonts w:hint="eastAsia" w:ascii="宋体" w:hAnsi="宋体" w:cs="宋体"/>
          <w:sz w:val="24"/>
          <w:szCs w:val="24"/>
          <w:lang w:val="en-US" w:eastAsia="zh-CN"/>
        </w:rPr>
        <w:t>；</w:t>
      </w:r>
    </w:p>
    <w:p w14:paraId="69D3E064">
      <w:pPr>
        <w:numPr>
          <w:ilvl w:val="0"/>
          <w:numId w:val="0"/>
        </w:num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3、乙方应于甲方付费前7个工作日内向甲方提供所付金额的全额发票。</w:t>
      </w:r>
    </w:p>
    <w:p w14:paraId="5DF6FE3E">
      <w:pPr>
        <w:numPr>
          <w:ilvl w:val="0"/>
          <w:numId w:val="0"/>
        </w:numPr>
        <w:spacing w:line="360" w:lineRule="auto"/>
        <w:ind w:firstLine="482" w:firstLineChars="200"/>
        <w:rPr>
          <w:rFonts w:hint="eastAsia" w:ascii="宋体" w:hAnsi="宋体" w:eastAsia="宋体" w:cs="宋体"/>
          <w:b/>
          <w:bCs/>
          <w:sz w:val="24"/>
          <w:szCs w:val="24"/>
        </w:rPr>
      </w:pPr>
      <w:r>
        <w:rPr>
          <w:rFonts w:hint="eastAsia" w:ascii="宋体" w:hAnsi="宋体" w:cs="宋体"/>
          <w:b/>
          <w:bCs/>
          <w:sz w:val="24"/>
          <w:szCs w:val="24"/>
          <w:lang w:val="en-US" w:eastAsia="zh-CN"/>
        </w:rPr>
        <w:t>五、</w:t>
      </w:r>
      <w:r>
        <w:rPr>
          <w:rFonts w:hint="eastAsia" w:ascii="宋体" w:hAnsi="宋体" w:eastAsia="宋体" w:cs="宋体"/>
          <w:b/>
          <w:bCs/>
          <w:sz w:val="24"/>
          <w:szCs w:val="24"/>
        </w:rPr>
        <w:t>乙方收款信息∶</w:t>
      </w:r>
    </w:p>
    <w:p w14:paraId="3DE666DC">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乙方收款信息如下：</w:t>
      </w:r>
    </w:p>
    <w:p w14:paraId="6ACB345C">
      <w:pPr>
        <w:spacing w:line="360" w:lineRule="auto"/>
        <w:ind w:left="239" w:leftChars="114" w:firstLine="240" w:firstLineChars="100"/>
        <w:rPr>
          <w:rFonts w:hint="eastAsia" w:ascii="宋体" w:hAnsi="宋体" w:eastAsia="宋体" w:cs="宋体"/>
          <w:sz w:val="24"/>
          <w:szCs w:val="24"/>
        </w:rPr>
      </w:pPr>
      <w:r>
        <w:rPr>
          <w:rFonts w:hint="eastAsia" w:ascii="宋体" w:hAnsi="宋体" w:eastAsia="宋体" w:cs="宋体"/>
          <w:sz w:val="24"/>
          <w:szCs w:val="24"/>
        </w:rPr>
        <w:t>公司名称：库尔勒成交互动文化传媒有限公司</w:t>
      </w:r>
    </w:p>
    <w:p w14:paraId="1B2472EE">
      <w:pPr>
        <w:spacing w:line="360" w:lineRule="auto"/>
        <w:ind w:left="239" w:leftChars="114" w:firstLine="240" w:firstLineChars="100"/>
        <w:rPr>
          <w:rFonts w:hint="eastAsia" w:ascii="宋体" w:hAnsi="宋体" w:eastAsia="宋体" w:cs="宋体"/>
          <w:sz w:val="24"/>
          <w:szCs w:val="24"/>
        </w:rPr>
      </w:pPr>
      <w:r>
        <w:rPr>
          <w:rFonts w:hint="eastAsia" w:ascii="宋体" w:hAnsi="宋体" w:eastAsia="宋体" w:cs="宋体"/>
          <w:sz w:val="24"/>
          <w:szCs w:val="24"/>
        </w:rPr>
        <w:t>地址</w:t>
      </w:r>
      <w:r>
        <w:rPr>
          <w:rFonts w:hint="eastAsia" w:ascii="宋体" w:hAnsi="宋体" w:cs="宋体"/>
          <w:sz w:val="24"/>
          <w:szCs w:val="24"/>
          <w:lang w:val="en-US" w:eastAsia="zh-CN"/>
        </w:rPr>
        <w:t>及电话</w:t>
      </w:r>
      <w:r>
        <w:rPr>
          <w:rFonts w:hint="eastAsia" w:ascii="宋体" w:hAnsi="宋体" w:eastAsia="宋体" w:cs="宋体"/>
          <w:sz w:val="24"/>
          <w:szCs w:val="24"/>
        </w:rPr>
        <w:t>：新疆巴州库尔勒市新城辖区民生路113号书馨家园9栋1层13</w:t>
      </w:r>
      <w:r>
        <w:rPr>
          <w:rFonts w:hint="eastAsia" w:ascii="宋体" w:hAnsi="宋体" w:cs="宋体"/>
          <w:sz w:val="24"/>
          <w:szCs w:val="24"/>
          <w:lang w:eastAsia="zh-CN"/>
        </w:rPr>
        <w:t>，</w:t>
      </w:r>
      <w:r>
        <w:rPr>
          <w:rFonts w:hint="eastAsia" w:ascii="宋体" w:hAnsi="宋体" w:eastAsia="宋体" w:cs="宋体"/>
          <w:sz w:val="24"/>
          <w:szCs w:val="24"/>
        </w:rPr>
        <w:t>18699692893</w:t>
      </w:r>
    </w:p>
    <w:p w14:paraId="4AB99794">
      <w:pPr>
        <w:spacing w:line="360" w:lineRule="auto"/>
        <w:ind w:left="239" w:leftChars="114" w:firstLine="240" w:firstLineChars="100"/>
        <w:rPr>
          <w:rFonts w:hint="eastAsia" w:ascii="宋体" w:hAnsi="宋体" w:eastAsia="宋体" w:cs="宋体"/>
          <w:sz w:val="24"/>
          <w:szCs w:val="24"/>
        </w:rPr>
      </w:pPr>
      <w:r>
        <w:rPr>
          <w:rFonts w:hint="eastAsia" w:ascii="宋体" w:hAnsi="宋体" w:eastAsia="宋体" w:cs="宋体"/>
          <w:sz w:val="24"/>
          <w:szCs w:val="24"/>
        </w:rPr>
        <w:t>开户银行：新疆银行股份有限公司库尔勒千城支行</w:t>
      </w:r>
    </w:p>
    <w:p w14:paraId="6154AEE2">
      <w:pPr>
        <w:spacing w:line="360" w:lineRule="auto"/>
        <w:ind w:left="239" w:leftChars="114" w:firstLine="240" w:firstLineChars="100"/>
        <w:rPr>
          <w:rFonts w:hint="eastAsia" w:ascii="宋体" w:hAnsi="宋体" w:eastAsia="宋体" w:cs="宋体"/>
          <w:sz w:val="24"/>
          <w:szCs w:val="24"/>
        </w:rPr>
      </w:pPr>
      <w:r>
        <w:rPr>
          <w:rFonts w:hint="eastAsia" w:ascii="宋体" w:hAnsi="宋体" w:eastAsia="宋体" w:cs="宋体"/>
          <w:sz w:val="24"/>
          <w:szCs w:val="24"/>
        </w:rPr>
        <w:t>账号：736090100100109669</w:t>
      </w:r>
    </w:p>
    <w:p w14:paraId="4B159EE3">
      <w:pPr>
        <w:spacing w:line="360" w:lineRule="auto"/>
        <w:ind w:left="239" w:leftChars="114" w:firstLine="240" w:firstLineChars="100"/>
        <w:rPr>
          <w:rFonts w:hint="eastAsia" w:ascii="宋体" w:hAnsi="宋体" w:eastAsia="宋体" w:cs="宋体"/>
          <w:sz w:val="24"/>
          <w:szCs w:val="24"/>
        </w:rPr>
      </w:pPr>
      <w:r>
        <w:rPr>
          <w:rFonts w:hint="eastAsia" w:ascii="宋体" w:hAnsi="宋体" w:eastAsia="宋体" w:cs="宋体"/>
          <w:sz w:val="24"/>
          <w:szCs w:val="24"/>
        </w:rPr>
        <w:t>行号：313888000101</w:t>
      </w:r>
    </w:p>
    <w:p w14:paraId="30964E71">
      <w:pPr>
        <w:spacing w:line="360" w:lineRule="auto"/>
        <w:ind w:left="562"/>
        <w:rPr>
          <w:rFonts w:hint="eastAsia" w:ascii="宋体" w:hAnsi="宋体" w:eastAsia="宋体" w:cs="宋体"/>
          <w:sz w:val="24"/>
          <w:szCs w:val="24"/>
        </w:rPr>
      </w:pPr>
      <w:r>
        <w:rPr>
          <w:rFonts w:hint="eastAsia" w:ascii="宋体" w:hAnsi="宋体" w:eastAsia="宋体" w:cs="宋体"/>
          <w:b/>
          <w:bCs/>
          <w:sz w:val="24"/>
          <w:szCs w:val="24"/>
        </w:rPr>
        <w:t>六、权利和义务</w:t>
      </w:r>
    </w:p>
    <w:p w14:paraId="6187DF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1、甲方的权利与义务∶</w:t>
      </w:r>
    </w:p>
    <w:p w14:paraId="12F95A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甲方有监督乙方工作的权利。</w:t>
      </w:r>
    </w:p>
    <w:p w14:paraId="3622C7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 甲方应及时如实的提供乙方工作中所必须的资料和信息。</w:t>
      </w:r>
    </w:p>
    <w:p w14:paraId="21C1855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3</w:t>
      </w:r>
      <w:r>
        <w:rPr>
          <w:rFonts w:hint="eastAsia" w:ascii="宋体" w:hAnsi="宋体" w:eastAsia="宋体" w:cs="宋体"/>
          <w:sz w:val="24"/>
          <w:szCs w:val="24"/>
        </w:rPr>
        <w:t>） 甲方应按照合同约定及时支付合同价款。</w:t>
      </w:r>
    </w:p>
    <w:p w14:paraId="649AEA3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 甲方承诺对合同金额对外保密，未经乙方同意不得告知任何第三方，依据法律行政法规等规定或司法、行政机关的要求对外提供的除外。</w:t>
      </w:r>
    </w:p>
    <w:p w14:paraId="29495B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2、乙方的权利与义务∶</w:t>
      </w:r>
    </w:p>
    <w:p w14:paraId="1D8FD06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（1）乙方有权按照合同约定收取合同价款。</w:t>
      </w:r>
    </w:p>
    <w:p w14:paraId="578524B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（2）为了工作顺利进行，乙方有要求甲方合理配合的权利。</w:t>
      </w:r>
    </w:p>
    <w:p w14:paraId="32EDBA8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（3）乙方应按照合同约定认真履行合同义务，按合同约定期限保证甲方广告的持续不间断发布。</w:t>
      </w:r>
    </w:p>
    <w:p w14:paraId="158B66C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（4）乙方必须接受甲方的工作监督，并且按照甲方的要求，统一宣传口径。</w:t>
      </w:r>
    </w:p>
    <w:p w14:paraId="117C4AAC">
      <w:pPr>
        <w:spacing w:line="360" w:lineRule="auto"/>
        <w:ind w:firstLine="482" w:firstLineChars="200"/>
        <w:rPr>
          <w:rFonts w:hint="eastAsia" w:ascii="宋体" w:hAnsi="宋体" w:eastAsia="宋体" w:cs="宋体"/>
          <w:b/>
          <w:bCs/>
          <w:sz w:val="24"/>
          <w:szCs w:val="24"/>
        </w:rPr>
      </w:pPr>
      <w:r>
        <w:rPr>
          <w:rFonts w:hint="eastAsia" w:ascii="宋体" w:hAnsi="宋体" w:cs="宋体"/>
          <w:b/>
          <w:bCs/>
          <w:sz w:val="24"/>
          <w:szCs w:val="24"/>
          <w:lang w:val="en-US" w:eastAsia="zh-CN"/>
        </w:rPr>
        <w:t>七</w:t>
      </w:r>
      <w:r>
        <w:rPr>
          <w:rFonts w:hint="eastAsia" w:ascii="宋体" w:hAnsi="宋体" w:eastAsia="宋体" w:cs="宋体"/>
          <w:b/>
          <w:bCs/>
          <w:sz w:val="24"/>
          <w:szCs w:val="24"/>
        </w:rPr>
        <w:t>、争议解决方式</w:t>
      </w:r>
    </w:p>
    <w:p w14:paraId="61E3351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凡由本合同引起的或与本合同有关的争议和纠纷，双方应协商解决，协商不成的，向甲方所在地有管辖权的法院起诉。争议期间，各方仍应继续履行未涉争议的条款。</w:t>
      </w:r>
    </w:p>
    <w:p w14:paraId="3857505C">
      <w:pPr>
        <w:spacing w:line="360" w:lineRule="auto"/>
        <w:ind w:firstLine="482" w:firstLineChars="200"/>
        <w:rPr>
          <w:rFonts w:hint="eastAsia" w:ascii="宋体" w:hAnsi="宋体" w:eastAsia="宋体" w:cs="宋体"/>
          <w:b/>
          <w:bCs/>
          <w:sz w:val="24"/>
          <w:szCs w:val="24"/>
        </w:rPr>
      </w:pPr>
      <w:r>
        <w:rPr>
          <w:rFonts w:hint="eastAsia" w:ascii="宋体" w:hAnsi="宋体" w:cs="宋体"/>
          <w:b/>
          <w:bCs/>
          <w:sz w:val="24"/>
          <w:szCs w:val="24"/>
          <w:lang w:val="en-US" w:eastAsia="zh-CN"/>
        </w:rPr>
        <w:t>八</w:t>
      </w:r>
      <w:r>
        <w:rPr>
          <w:rFonts w:hint="eastAsia" w:ascii="宋体" w:hAnsi="宋体" w:eastAsia="宋体" w:cs="宋体"/>
          <w:b/>
          <w:bCs/>
          <w:sz w:val="24"/>
          <w:szCs w:val="24"/>
        </w:rPr>
        <w:t>、通知与送达</w:t>
      </w:r>
    </w:p>
    <w:p w14:paraId="5ECCC2E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协议履行中双方往来的联络，可以采用直接送交、邮寄、电话、短信邮件、微信等方式送达，本条所列地址为甲乙双方有效通信地址，一方按下列地址向对方发送的函件、信息均视为对方已收悉。如一方联系方式变更，应提前3日向对方书面告知，若因联系地址变更未按约向对方告知导致对方向该地址送达不能的法律后果由地址变更方自行承担。</w:t>
      </w:r>
    </w:p>
    <w:p w14:paraId="32502B9B">
      <w:pPr>
        <w:spacing w:line="360" w:lineRule="auto"/>
        <w:ind w:firstLine="482" w:firstLineChars="200"/>
        <w:rPr>
          <w:rFonts w:hint="eastAsia" w:ascii="宋体" w:hAnsi="宋体" w:eastAsia="宋体" w:cs="宋体"/>
          <w:b/>
          <w:bCs/>
          <w:sz w:val="24"/>
          <w:szCs w:val="24"/>
        </w:rPr>
      </w:pPr>
      <w:r>
        <w:rPr>
          <w:rFonts w:hint="eastAsia" w:ascii="宋体" w:hAnsi="宋体" w:cs="宋体"/>
          <w:b/>
          <w:bCs/>
          <w:sz w:val="24"/>
          <w:szCs w:val="24"/>
          <w:lang w:val="en-US" w:eastAsia="zh-CN"/>
        </w:rPr>
        <w:t>九</w:t>
      </w:r>
      <w:r>
        <w:rPr>
          <w:rFonts w:hint="eastAsia" w:ascii="宋体" w:hAnsi="宋体" w:eastAsia="宋体" w:cs="宋体"/>
          <w:b/>
          <w:bCs/>
          <w:sz w:val="24"/>
          <w:szCs w:val="24"/>
        </w:rPr>
        <w:t>、合同生效及其他</w:t>
      </w:r>
    </w:p>
    <w:p w14:paraId="772BAB2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1、对本合同的任何变更应由双方协商一致并以书面形式作出。变更条款或协议构成本合同的一部分，与本合同具有同等法律效力。若有未尽事宜，双方友好协商解决。</w:t>
      </w:r>
    </w:p>
    <w:p w14:paraId="2541579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2、未经合同相对方书面同意，任一方均不得转让本合同项下任何权利和义务。</w:t>
      </w:r>
    </w:p>
    <w:p w14:paraId="31B588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3、本合同一式</w:t>
      </w:r>
      <w:r>
        <w:rPr>
          <w:rFonts w:hint="eastAsia" w:ascii="宋体" w:hAnsi="宋体" w:cs="宋体"/>
          <w:sz w:val="24"/>
          <w:szCs w:val="24"/>
          <w:lang w:val="en-US" w:eastAsia="zh-CN"/>
        </w:rPr>
        <w:t>贰</w:t>
      </w:r>
      <w:r>
        <w:rPr>
          <w:rFonts w:hint="eastAsia" w:ascii="宋体" w:hAnsi="宋体" w:eastAsia="宋体" w:cs="宋体"/>
          <w:sz w:val="24"/>
          <w:szCs w:val="24"/>
        </w:rPr>
        <w:t>份，甲方壹份，乙方壹份，具有同等法律效力，合同经甲乙双方盖章后生效。</w:t>
      </w:r>
    </w:p>
    <w:p w14:paraId="7F99291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4、本合同附件为本合同的组成部分，与本合同正文具有同等法律效力。</w:t>
      </w:r>
    </w:p>
    <w:p w14:paraId="32843D84">
      <w:pPr>
        <w:spacing w:line="360" w:lineRule="auto"/>
        <w:ind w:firstLine="480" w:firstLineChars="200"/>
        <w:rPr>
          <w:rFonts w:hint="eastAsia" w:ascii="宋体" w:hAnsi="宋体" w:eastAsia="宋体" w:cs="宋体"/>
          <w:sz w:val="24"/>
          <w:szCs w:val="24"/>
        </w:rPr>
      </w:pPr>
    </w:p>
    <w:p w14:paraId="5C1256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甲方(盖章)：                   乙方(盖章)：</w:t>
      </w:r>
    </w:p>
    <w:p w14:paraId="0B121F4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联系人：                       联系人 ：</w:t>
      </w:r>
    </w:p>
    <w:p w14:paraId="495846DF">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签约时间：</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5</w:t>
      </w:r>
      <w:r>
        <w:rPr>
          <w:rFonts w:hint="eastAsia" w:ascii="宋体" w:hAnsi="宋体" w:eastAsia="宋体" w:cs="宋体"/>
          <w:sz w:val="24"/>
          <w:szCs w:val="24"/>
        </w:rPr>
        <w:t xml:space="preserve"> 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r>
        <w:rPr>
          <w:rFonts w:hint="eastAsia" w:ascii="宋体" w:hAnsi="宋体" w:cs="宋体"/>
          <w:sz w:val="24"/>
          <w:szCs w:val="24"/>
          <w:lang w:val="en-US" w:eastAsia="zh-CN"/>
        </w:rPr>
        <w:t xml:space="preserve">      </w:t>
      </w:r>
      <w:r>
        <w:rPr>
          <w:rFonts w:hint="eastAsia" w:ascii="宋体" w:hAnsi="宋体" w:eastAsia="宋体" w:cs="宋体"/>
          <w:sz w:val="24"/>
          <w:szCs w:val="24"/>
        </w:rPr>
        <w:t>签约时间：</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5</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3BE57843">
      <w:pPr>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地址：                         地址：</w:t>
      </w:r>
    </w:p>
    <w:p w14:paraId="2B7ED1C1">
      <w:pPr>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电话：                         电话：</w:t>
      </w:r>
    </w:p>
    <w:p w14:paraId="724CDCA5">
      <w:pPr>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邮箱：                         邮箱：</w:t>
      </w:r>
    </w:p>
    <w:p w14:paraId="7C1218F4">
      <w:pPr>
        <w:spacing w:line="360" w:lineRule="auto"/>
        <w:ind w:firstLine="480" w:firstLineChars="200"/>
        <w:rPr>
          <w:rFonts w:hint="default" w:ascii="宋体" w:hAnsi="宋体" w:cs="宋体"/>
          <w:sz w:val="24"/>
          <w:szCs w:val="24"/>
          <w:lang w:val="en-US" w:eastAsia="zh-CN"/>
        </w:rPr>
      </w:pPr>
    </w:p>
    <w:p w14:paraId="58D6E89F">
      <w:pPr>
        <w:spacing w:line="360" w:lineRule="auto"/>
        <w:ind w:firstLine="480" w:firstLineChars="200"/>
        <w:rPr>
          <w:rFonts w:hint="eastAsia" w:ascii="宋体" w:hAnsi="宋体" w:eastAsia="宋体" w:cs="宋体"/>
          <w:sz w:val="24"/>
          <w:szCs w:val="24"/>
        </w:rPr>
      </w:pPr>
    </w:p>
    <w:p w14:paraId="50C251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w:t>
      </w:r>
    </w:p>
    <w:p w14:paraId="0829A728">
      <w:pPr>
        <w:spacing w:line="360" w:lineRule="auto"/>
        <w:ind w:firstLine="480" w:firstLineChars="200"/>
        <w:rPr>
          <w:rFonts w:hint="eastAsia" w:ascii="宋体" w:hAnsi="宋体" w:eastAsia="宋体" w:cs="宋体"/>
          <w:sz w:val="24"/>
          <w:szCs w:val="24"/>
        </w:rPr>
      </w:pPr>
    </w:p>
    <w:p w14:paraId="454BF56E">
      <w:pPr>
        <w:spacing w:line="360" w:lineRule="auto"/>
        <w:rPr>
          <w:rFonts w:hint="eastAsia" w:ascii="宋体" w:hAnsi="宋体" w:eastAsia="宋体" w:cs="宋体"/>
          <w:b/>
          <w:bCs/>
          <w:sz w:val="24"/>
          <w:szCs w:val="24"/>
        </w:rPr>
      </w:pPr>
    </w:p>
    <w:p w14:paraId="03B802BF">
      <w:pPr>
        <w:rPr>
          <w:rFonts w:hint="eastAsia" w:ascii="宋体" w:hAnsi="宋体" w:eastAsia="宋体" w:cs="宋体"/>
          <w:sz w:val="24"/>
          <w:szCs w:val="24"/>
          <w:lang w:val="en-US" w:eastAsia="zh-CN"/>
        </w:rPr>
      </w:pPr>
    </w:p>
    <w:sectPr>
      <w:headerReference r:id="rId8" w:type="default"/>
      <w:footerReference r:id="rId9"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D4FF6">
    <w:pPr>
      <w:pStyle w:val="3"/>
      <w:jc w:val="center"/>
    </w:pPr>
    <w:r>
      <w:fldChar w:fldCharType="begin"/>
    </w:r>
    <w:r>
      <w:instrText xml:space="preserve">PAGE   \* MERGEFORMAT</w:instrText>
    </w:r>
    <w:r>
      <w:fldChar w:fldCharType="separate"/>
    </w:r>
    <w:r>
      <w:rPr>
        <w:lang w:val="zh-CN"/>
      </w:rPr>
      <w:t>1</w:t>
    </w:r>
    <w:r>
      <w:fldChar w:fldCharType="end"/>
    </w:r>
  </w:p>
  <w:p w14:paraId="1AA52710">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7328D">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6887B">
    <w:pPr>
      <w:pStyle w:val="3"/>
      <w:jc w:val="center"/>
    </w:pPr>
    <w:r>
      <w:fldChar w:fldCharType="begin"/>
    </w:r>
    <w:r>
      <w:instrText xml:space="preserve">PAGE   \* MERGEFORMAT</w:instrText>
    </w:r>
    <w:r>
      <w:fldChar w:fldCharType="separate"/>
    </w:r>
    <w:r>
      <w:rPr>
        <w:lang w:val="zh-CN"/>
      </w:rPr>
      <w:t>1</w:t>
    </w:r>
    <w:r>
      <w:fldChar w:fldCharType="end"/>
    </w:r>
  </w:p>
  <w:p w14:paraId="4967E56F">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BAEDA">
    <w:pPr>
      <w:pStyle w:val="4"/>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41BFF">
    <w:pPr>
      <w:pStyle w:val="4"/>
    </w:pPr>
    <w:r>
      <w:drawing>
        <wp:anchor distT="0" distB="0" distL="0" distR="0" simplePos="0" relativeHeight="251659264" behindDoc="1" locked="0" layoutInCell="0" allowOverlap="1">
          <wp:simplePos x="0" y="0"/>
          <wp:positionH relativeFrom="margin">
            <wp:align>center</wp:align>
          </wp:positionH>
          <wp:positionV relativeFrom="margin">
            <wp:align>center</wp:align>
          </wp:positionV>
          <wp:extent cx="6629400" cy="9372600"/>
          <wp:effectExtent l="0" t="0" r="0" b="0"/>
          <wp:wrapNone/>
          <wp:docPr id="409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 name="Image1"/>
                  <pic:cNvPicPr>
                    <a:picLocks noChangeAspect="1"/>
                  </pic:cNvPicPr>
                </pic:nvPicPr>
                <pic:blipFill>
                  <a:blip r:embed="rId1" cstate="print">
                    <a:lum bright="70000" contrast="-70000"/>
                  </a:blip>
                  <a:srcRect/>
                  <a:stretch>
                    <a:fillRect/>
                  </a:stretch>
                </pic:blipFill>
                <pic:spPr>
                  <a:xfrm>
                    <a:off x="0" y="0"/>
                    <a:ext cx="6629400" cy="9372600"/>
                  </a:xfrm>
                  <a:prstGeom prst="rect">
                    <a:avLst/>
                  </a:prstGeom>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DBAE0">
    <w:pPr>
      <w:pStyle w:val="4"/>
    </w:pPr>
    <w:r>
      <w:drawing>
        <wp:anchor distT="0" distB="0" distL="0" distR="0" simplePos="0" relativeHeight="251659264" behindDoc="1" locked="0" layoutInCell="0" allowOverlap="1">
          <wp:simplePos x="0" y="0"/>
          <wp:positionH relativeFrom="margin">
            <wp:align>center</wp:align>
          </wp:positionH>
          <wp:positionV relativeFrom="margin">
            <wp:align>center</wp:align>
          </wp:positionV>
          <wp:extent cx="6629400" cy="9372600"/>
          <wp:effectExtent l="0" t="0" r="0" b="0"/>
          <wp:wrapNone/>
          <wp:docPr id="409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Image1"/>
                  <pic:cNvPicPr>
                    <a:picLocks noChangeAspect="1"/>
                  </pic:cNvPicPr>
                </pic:nvPicPr>
                <pic:blipFill>
                  <a:blip r:embed="rId1" cstate="print">
                    <a:lum bright="70000" contrast="-70000"/>
                  </a:blip>
                  <a:srcRect/>
                  <a:stretch>
                    <a:fillRect/>
                  </a:stretch>
                </pic:blipFill>
                <pic:spPr>
                  <a:xfrm>
                    <a:off x="0" y="0"/>
                    <a:ext cx="6629400" cy="9372600"/>
                  </a:xfrm>
                  <a:prstGeom prst="rect">
                    <a:avLst/>
                  </a:prstGeom>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225F1">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2"/>
      <w:numFmt w:val="chineseCounting"/>
      <w:suff w:val="nothing"/>
      <w:lvlText w:val="%1、"/>
      <w:lvlJc w:val="left"/>
    </w:lvl>
  </w:abstractNum>
  <w:abstractNum w:abstractNumId="1">
    <w:nsid w:val="00000005"/>
    <w:multiLevelType w:val="singleLevel"/>
    <w:tmpl w:val="00000005"/>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5MTJkYTMyOWM5NTQwNzJhOTVmMDA2ODBjZTE3NjkifQ=="/>
  </w:docVars>
  <w:rsids>
    <w:rsidRoot w:val="28DE3DA4"/>
    <w:rsid w:val="00EB60B2"/>
    <w:rsid w:val="04A25346"/>
    <w:rsid w:val="05344142"/>
    <w:rsid w:val="08023AC8"/>
    <w:rsid w:val="097529BD"/>
    <w:rsid w:val="11735EB1"/>
    <w:rsid w:val="14600CB0"/>
    <w:rsid w:val="1D0D043C"/>
    <w:rsid w:val="1F02489B"/>
    <w:rsid w:val="1FF163E5"/>
    <w:rsid w:val="22AB1A73"/>
    <w:rsid w:val="28DE3DA4"/>
    <w:rsid w:val="31A86945"/>
    <w:rsid w:val="3200575E"/>
    <w:rsid w:val="350727B3"/>
    <w:rsid w:val="35627946"/>
    <w:rsid w:val="367506CE"/>
    <w:rsid w:val="3689237F"/>
    <w:rsid w:val="38557B69"/>
    <w:rsid w:val="3DEE2184"/>
    <w:rsid w:val="3EBD5A23"/>
    <w:rsid w:val="409F5F96"/>
    <w:rsid w:val="40E75835"/>
    <w:rsid w:val="498E1B7D"/>
    <w:rsid w:val="4B86222C"/>
    <w:rsid w:val="533F163E"/>
    <w:rsid w:val="54D062C6"/>
    <w:rsid w:val="58615BB3"/>
    <w:rsid w:val="5B443256"/>
    <w:rsid w:val="5B490055"/>
    <w:rsid w:val="5D73400E"/>
    <w:rsid w:val="5E8E5526"/>
    <w:rsid w:val="60E76E71"/>
    <w:rsid w:val="61DF11C0"/>
    <w:rsid w:val="6218695C"/>
    <w:rsid w:val="62705184"/>
    <w:rsid w:val="64D21BE7"/>
    <w:rsid w:val="65743EB9"/>
    <w:rsid w:val="65A62534"/>
    <w:rsid w:val="66865325"/>
    <w:rsid w:val="67F11071"/>
    <w:rsid w:val="6A026B84"/>
    <w:rsid w:val="6B4F3F91"/>
    <w:rsid w:val="70645DE9"/>
    <w:rsid w:val="7261045E"/>
    <w:rsid w:val="7516760C"/>
    <w:rsid w:val="756732FA"/>
    <w:rsid w:val="779835D7"/>
    <w:rsid w:val="77AB69F3"/>
    <w:rsid w:val="783355F2"/>
    <w:rsid w:val="78DF4BA6"/>
    <w:rsid w:val="79282A92"/>
    <w:rsid w:val="7BCC0454"/>
    <w:rsid w:val="7CC51EED"/>
    <w:rsid w:val="7E0422CC"/>
    <w:rsid w:val="7E09623E"/>
    <w:rsid w:val="7E8E075C"/>
    <w:rsid w:val="7F2E75BE"/>
    <w:rsid w:val="7FD6536A"/>
    <w:rsid w:val="7FE707E4"/>
    <w:rsid w:val="FFD53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footer"/>
    <w:basedOn w:val="1"/>
    <w:autoRedefine/>
    <w:qFormat/>
    <w:uiPriority w:val="99"/>
    <w:pPr>
      <w:tabs>
        <w:tab w:val="center" w:pos="4153"/>
        <w:tab w:val="right" w:pos="8306"/>
      </w:tabs>
      <w:snapToGrid w:val="0"/>
    </w:pPr>
    <w:rPr>
      <w:sz w:val="18"/>
      <w:szCs w:val="18"/>
    </w:rPr>
  </w:style>
  <w:style w:type="paragraph" w:styleId="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customStyle="1" w:styleId="8">
    <w:name w:val="Table Normal"/>
    <w:autoRedefine/>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1488</Words>
  <Characters>1569</Characters>
  <Lines>0</Lines>
  <Paragraphs>0</Paragraphs>
  <TotalTime>1</TotalTime>
  <ScaleCrop>false</ScaleCrop>
  <LinksUpToDate>false</LinksUpToDate>
  <CharactersWithSpaces>1795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2023-04-25T20:52:00Z</dcterms:created>
  <dc:creator>勇往直前</dc:creator>
  <cp:lastModifiedBy>甜瓜</cp:lastModifiedBy>
  <cp:lastPrinted>2025-02-11T03:25:00Z</cp:lastPrinted>
  <dcterms:modified xsi:type="dcterms:W3CDTF">2025-02-11T05:08:23Z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2DC7D53AC7DC4A39A05944649A6430BD_13</vt:lpwstr>
  </property>
  <property fmtid="{D5CDD505-2E9C-101B-9397-08002B2CF9AE}" pid="4" name="KSOTemplateDocerSaveRecord">
    <vt:lpwstr>eyJoZGlkIjoiYTk5MTJkYTMyOWM5NTQwNzJhOTVmMDA2ODBjZTE3NjkiLCJ1c2VySWQiOiI0NTM3NzI4NTUifQ==</vt:lpwstr>
  </property>
</Properties>
</file>