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45253">
      <w:pPr>
        <w:rPr>
          <w:rFonts w:hint="eastAsia" w:ascii="微软雅黑" w:hAnsi="微软雅黑" w:eastAsia="微软雅黑" w:cs="微软雅黑"/>
          <w:sz w:val="28"/>
          <w:szCs w:val="36"/>
        </w:rPr>
      </w:pPr>
    </w:p>
    <w:p w14:paraId="5C76FE8F">
      <w:pPr>
        <w:rPr>
          <w:rFonts w:hint="eastAsia" w:ascii="微软雅黑" w:hAnsi="微软雅黑" w:eastAsia="微软雅黑" w:cs="微软雅黑"/>
          <w:sz w:val="28"/>
          <w:szCs w:val="36"/>
        </w:rPr>
      </w:pPr>
    </w:p>
    <w:p w14:paraId="5C10ADEE">
      <w:pPr>
        <w:rPr>
          <w:rFonts w:hint="eastAsia" w:ascii="微软雅黑" w:hAnsi="微软雅黑" w:eastAsia="微软雅黑" w:cs="微软雅黑"/>
          <w:sz w:val="28"/>
          <w:szCs w:val="36"/>
        </w:rPr>
      </w:pPr>
    </w:p>
    <w:p w14:paraId="06ED7894">
      <w:pPr>
        <w:rPr>
          <w:rFonts w:hint="eastAsia" w:ascii="微软雅黑" w:hAnsi="微软雅黑" w:eastAsia="微软雅黑" w:cs="微软雅黑"/>
          <w:sz w:val="28"/>
          <w:szCs w:val="36"/>
        </w:rPr>
      </w:pPr>
    </w:p>
    <w:p w14:paraId="5F377591">
      <w:pPr>
        <w:rPr>
          <w:rFonts w:hint="eastAsia" w:ascii="微软雅黑" w:hAnsi="微软雅黑" w:eastAsia="微软雅黑" w:cs="微软雅黑"/>
          <w:sz w:val="28"/>
          <w:szCs w:val="36"/>
        </w:rPr>
      </w:pPr>
    </w:p>
    <w:p w14:paraId="6DA63788">
      <w:pPr>
        <w:rPr>
          <w:rFonts w:hint="eastAsia" w:ascii="微软雅黑" w:hAnsi="微软雅黑" w:eastAsia="微软雅黑" w:cs="微软雅黑"/>
          <w:sz w:val="28"/>
          <w:szCs w:val="36"/>
        </w:rPr>
      </w:pPr>
    </w:p>
    <w:p w14:paraId="1CAD3FEA">
      <w:pPr>
        <w:jc w:val="center"/>
        <w:rPr>
          <w:rFonts w:hint="eastAsia" w:ascii="微软雅黑" w:hAnsi="微软雅黑" w:eastAsia="微软雅黑" w:cs="微软雅黑"/>
          <w:b/>
          <w:bCs/>
          <w:sz w:val="96"/>
          <w:szCs w:val="160"/>
        </w:rPr>
      </w:pPr>
      <w:r>
        <w:rPr>
          <w:rFonts w:hint="eastAsia" w:ascii="微软雅黑" w:hAnsi="微软雅黑" w:eastAsia="微软雅黑" w:cs="微软雅黑"/>
          <w:b/>
          <w:bCs/>
          <w:sz w:val="96"/>
          <w:szCs w:val="160"/>
        </w:rPr>
        <w:t>税务顾问协议</w:t>
      </w:r>
    </w:p>
    <w:p w14:paraId="3D79AFE0">
      <w:pPr>
        <w:rPr>
          <w:rFonts w:hint="eastAsia" w:ascii="微软雅黑" w:hAnsi="微软雅黑" w:eastAsia="微软雅黑" w:cs="微软雅黑"/>
          <w:b/>
          <w:bCs/>
          <w:sz w:val="44"/>
          <w:szCs w:val="52"/>
        </w:rPr>
      </w:pPr>
    </w:p>
    <w:p w14:paraId="005D033D">
      <w:pPr>
        <w:rPr>
          <w:rFonts w:hint="eastAsia" w:ascii="微软雅黑" w:hAnsi="微软雅黑" w:eastAsia="微软雅黑" w:cs="微软雅黑"/>
          <w:b/>
          <w:bCs/>
          <w:sz w:val="44"/>
          <w:szCs w:val="52"/>
        </w:rPr>
      </w:pPr>
    </w:p>
    <w:p w14:paraId="0B51ECFE">
      <w:pPr>
        <w:rPr>
          <w:rFonts w:hint="eastAsia" w:ascii="微软雅黑" w:hAnsi="微软雅黑" w:eastAsia="微软雅黑" w:cs="微软雅黑"/>
          <w:b/>
          <w:bCs/>
          <w:sz w:val="44"/>
          <w:szCs w:val="52"/>
        </w:rPr>
      </w:pPr>
    </w:p>
    <w:p w14:paraId="60FD77BB">
      <w:pPr>
        <w:rPr>
          <w:rFonts w:hint="eastAsia" w:ascii="微软雅黑" w:hAnsi="微软雅黑" w:eastAsia="微软雅黑" w:cs="微软雅黑"/>
          <w:b/>
          <w:bCs/>
          <w:sz w:val="44"/>
          <w:szCs w:val="52"/>
        </w:rPr>
      </w:pPr>
    </w:p>
    <w:p w14:paraId="76E736A2">
      <w:pPr>
        <w:rPr>
          <w:rFonts w:hint="eastAsia" w:ascii="微软雅黑" w:hAnsi="微软雅黑" w:eastAsia="微软雅黑" w:cs="微软雅黑"/>
          <w:b/>
          <w:bCs/>
          <w:sz w:val="44"/>
          <w:szCs w:val="52"/>
        </w:rPr>
      </w:pPr>
    </w:p>
    <w:p w14:paraId="584EBE9F">
      <w:pPr>
        <w:jc w:val="center"/>
        <w:rPr>
          <w:rFonts w:hint="eastAsia" w:ascii="微软雅黑" w:hAnsi="微软雅黑" w:eastAsia="微软雅黑" w:cs="微软雅黑"/>
          <w:sz w:val="48"/>
          <w:szCs w:val="56"/>
        </w:rPr>
      </w:pPr>
      <w:r>
        <w:rPr>
          <w:rFonts w:hint="eastAsia" w:ascii="微软雅黑" w:hAnsi="微软雅黑" w:eastAsia="微软雅黑" w:cs="微软雅黑"/>
          <w:b/>
          <w:bCs/>
          <w:sz w:val="48"/>
          <w:szCs w:val="56"/>
        </w:rPr>
        <w:t>盈科瑞诚税务师事务所（新疆）有限公司</w:t>
      </w:r>
    </w:p>
    <w:p w14:paraId="5FF3CAE7">
      <w:pPr>
        <w:jc w:val="center"/>
        <w:rPr>
          <w:rFonts w:hint="eastAsia" w:ascii="微软雅黑" w:hAnsi="微软雅黑" w:eastAsia="微软雅黑" w:cs="微软雅黑"/>
          <w:sz w:val="28"/>
          <w:szCs w:val="28"/>
        </w:rPr>
      </w:pPr>
    </w:p>
    <w:p w14:paraId="26BBE466">
      <w:pPr>
        <w:rPr>
          <w:rFonts w:hint="eastAsia" w:ascii="微软雅黑" w:hAnsi="微软雅黑" w:eastAsia="微软雅黑" w:cs="微软雅黑"/>
          <w:sz w:val="28"/>
          <w:szCs w:val="36"/>
        </w:rPr>
      </w:pPr>
    </w:p>
    <w:p w14:paraId="6D68BC31">
      <w:pPr>
        <w:rPr>
          <w:rFonts w:hint="eastAsia" w:ascii="微软雅黑" w:hAnsi="微软雅黑" w:eastAsia="微软雅黑" w:cs="微软雅黑"/>
          <w:sz w:val="28"/>
          <w:szCs w:val="36"/>
        </w:rPr>
      </w:pPr>
    </w:p>
    <w:p w14:paraId="1135E6CA">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甲方：</w:t>
      </w:r>
    </w:p>
    <w:p w14:paraId="5BE37CAB">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统一社会信用代码：</w:t>
      </w:r>
    </w:p>
    <w:p w14:paraId="19C42253">
      <w:pPr>
        <w:rPr>
          <w:rFonts w:hint="eastAsia" w:ascii="微软雅黑" w:hAnsi="微软雅黑" w:eastAsia="微软雅黑" w:cs="微软雅黑"/>
          <w:sz w:val="28"/>
          <w:szCs w:val="36"/>
        </w:rPr>
      </w:pPr>
    </w:p>
    <w:p w14:paraId="14658220">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乙方：盈科瑞诚税务师事务所（新疆）有限公司</w:t>
      </w:r>
    </w:p>
    <w:p w14:paraId="3F96B197">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统一社会信用代码：91650104MAC7L8CD4H</w:t>
      </w:r>
    </w:p>
    <w:p w14:paraId="470E2047">
      <w:pPr>
        <w:rPr>
          <w:rFonts w:hint="eastAsia" w:ascii="微软雅黑" w:hAnsi="微软雅黑" w:eastAsia="微软雅黑" w:cs="微软雅黑"/>
          <w:sz w:val="28"/>
          <w:szCs w:val="36"/>
        </w:rPr>
      </w:pPr>
    </w:p>
    <w:p w14:paraId="03F92D72">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为正确贯彻国家税收政策、帮助纳税人认真履行纳税义务，并保护其合法权益，根据《中华人民共和国民法典》以及《中华人民共和国税收征收管理法》的相关规定，经甲乙双方协商一致，就甲方聘请乙方为顾问单位，乙方向甲方提供税务咨询的相关事宜订立下列协议，共同依照履行。</w:t>
      </w:r>
    </w:p>
    <w:p w14:paraId="0951263D">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一、服务事项或内容</w:t>
      </w:r>
    </w:p>
    <w:p w14:paraId="4EDCBC2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 一 )咨询类服务</w:t>
      </w:r>
    </w:p>
    <w:p w14:paraId="052A125D">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参与企业投资项目及重大经营决策的咨询，协助企业解读相关财税和政策依据，识别潜在税收风险并提供解决方案；</w:t>
      </w:r>
    </w:p>
    <w:p w14:paraId="3A0F1B2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(二)税收检查判断</w:t>
      </w:r>
    </w:p>
    <w:p w14:paraId="759673F0">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甲方接受税务机关纳税检查时，乙方将根据甲方的实际需要， 以税务代理人的身份协助甲方接受纳税检查。对有争议的涉税问题 进行专业分析判断，给出理论与实务依据，必要时出具书面证明材料，使甲方与税务机关进行有效沟通，从而在合法合规的基础上降低纳税成本。</w:t>
      </w:r>
    </w:p>
    <w:p w14:paraId="27EAA4EA">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(三)财税政策辅导</w:t>
      </w:r>
    </w:p>
    <w:p w14:paraId="457330D0">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盈科瑞诚税务师事务所将协助贵公司及时传递与企业相关的企业的最新的财税政策并提供必要的辅导服务。辅导服务采用线上+线下结合的方式，内容主要是新政辅导，细分行业的税务全案辅导，或者配比贵公司实际需求。</w:t>
      </w:r>
    </w:p>
    <w:p w14:paraId="6F24813D">
      <w:pPr>
        <w:numPr>
          <w:ilvl w:val="0"/>
          <w:numId w:val="1"/>
        </w:num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服务期限</w:t>
      </w:r>
    </w:p>
    <w:p w14:paraId="667EEDA8">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本协议乙方为甲方提供服务的期限为</w:t>
      </w:r>
      <w:r>
        <w:rPr>
          <w:rFonts w:hint="eastAsia" w:ascii="微软雅黑" w:hAnsi="微软雅黑" w:eastAsia="微软雅黑" w:cs="微软雅黑"/>
          <w:sz w:val="28"/>
          <w:szCs w:val="36"/>
          <w:u w:val="single"/>
        </w:rPr>
        <w:t xml:space="preserve"> 1 </w:t>
      </w:r>
      <w:r>
        <w:rPr>
          <w:rFonts w:hint="eastAsia" w:ascii="微软雅黑" w:hAnsi="微软雅黑" w:eastAsia="微软雅黑" w:cs="微软雅黑"/>
          <w:sz w:val="28"/>
          <w:szCs w:val="36"/>
        </w:rPr>
        <w:t>年，自</w:t>
      </w:r>
      <w:r>
        <w:rPr>
          <w:rFonts w:hint="eastAsia" w:ascii="微软雅黑" w:hAnsi="微软雅黑" w:eastAsia="微软雅黑" w:cs="微软雅黑"/>
          <w:sz w:val="28"/>
          <w:szCs w:val="36"/>
          <w:u w:val="single"/>
        </w:rPr>
        <w:t xml:space="preserve"> 2025  </w:t>
      </w:r>
      <w:r>
        <w:rPr>
          <w:rFonts w:hint="eastAsia" w:ascii="微软雅黑" w:hAnsi="微软雅黑" w:eastAsia="微软雅黑" w:cs="微软雅黑"/>
          <w:sz w:val="28"/>
          <w:szCs w:val="36"/>
        </w:rPr>
        <w:t>年</w:t>
      </w:r>
      <w:r>
        <w:rPr>
          <w:rFonts w:hint="eastAsia" w:ascii="微软雅黑" w:hAnsi="微软雅黑" w:eastAsia="微软雅黑" w:cs="微软雅黑"/>
          <w:sz w:val="28"/>
          <w:szCs w:val="36"/>
          <w:u w:val="single"/>
        </w:rPr>
        <w:t xml:space="preserve">  1 </w:t>
      </w:r>
      <w:r>
        <w:rPr>
          <w:rFonts w:hint="eastAsia" w:ascii="微软雅黑" w:hAnsi="微软雅黑" w:eastAsia="微软雅黑" w:cs="微软雅黑"/>
          <w:sz w:val="28"/>
          <w:szCs w:val="36"/>
        </w:rPr>
        <w:t>月</w:t>
      </w:r>
      <w:r>
        <w:rPr>
          <w:rFonts w:hint="eastAsia" w:ascii="微软雅黑" w:hAnsi="微软雅黑" w:eastAsia="微软雅黑" w:cs="微软雅黑"/>
          <w:sz w:val="28"/>
          <w:szCs w:val="36"/>
          <w:u w:val="single"/>
        </w:rPr>
        <w:t xml:space="preserve">  1 </w:t>
      </w:r>
      <w:r>
        <w:rPr>
          <w:rFonts w:hint="eastAsia" w:ascii="微软雅黑" w:hAnsi="微软雅黑" w:eastAsia="微软雅黑" w:cs="微软雅黑"/>
          <w:sz w:val="28"/>
          <w:szCs w:val="36"/>
        </w:rPr>
        <w:t>日起至</w:t>
      </w:r>
      <w:r>
        <w:rPr>
          <w:rFonts w:hint="eastAsia" w:ascii="微软雅黑" w:hAnsi="微软雅黑" w:eastAsia="微软雅黑" w:cs="微软雅黑"/>
          <w:sz w:val="28"/>
          <w:szCs w:val="36"/>
          <w:u w:val="single"/>
        </w:rPr>
        <w:t xml:space="preserve"> 2025 </w:t>
      </w:r>
      <w:r>
        <w:rPr>
          <w:rFonts w:hint="eastAsia" w:ascii="微软雅黑" w:hAnsi="微软雅黑" w:eastAsia="微软雅黑" w:cs="微软雅黑"/>
          <w:sz w:val="28"/>
          <w:szCs w:val="36"/>
        </w:rPr>
        <w:t>年</w:t>
      </w:r>
      <w:r>
        <w:rPr>
          <w:rFonts w:hint="eastAsia" w:ascii="微软雅黑" w:hAnsi="微软雅黑" w:eastAsia="微软雅黑" w:cs="微软雅黑"/>
          <w:sz w:val="28"/>
          <w:szCs w:val="36"/>
          <w:u w:val="single"/>
        </w:rPr>
        <w:t xml:space="preserve"> 12 </w:t>
      </w:r>
      <w:r>
        <w:rPr>
          <w:rFonts w:hint="eastAsia" w:ascii="微软雅黑" w:hAnsi="微软雅黑" w:eastAsia="微软雅黑" w:cs="微软雅黑"/>
          <w:sz w:val="28"/>
          <w:szCs w:val="36"/>
        </w:rPr>
        <w:t>月</w:t>
      </w:r>
      <w:r>
        <w:rPr>
          <w:rFonts w:hint="eastAsia" w:ascii="微软雅黑" w:hAnsi="微软雅黑" w:eastAsia="微软雅黑" w:cs="微软雅黑"/>
          <w:sz w:val="28"/>
          <w:szCs w:val="36"/>
          <w:u w:val="single"/>
        </w:rPr>
        <w:t xml:space="preserve"> 31 </w:t>
      </w:r>
      <w:r>
        <w:rPr>
          <w:rFonts w:hint="eastAsia" w:ascii="微软雅黑" w:hAnsi="微软雅黑" w:eastAsia="微软雅黑" w:cs="微软雅黑"/>
          <w:sz w:val="28"/>
          <w:szCs w:val="36"/>
        </w:rPr>
        <w:t>日止，如甲方欲继续委托乙方为其提供税务咨询服务，应当在本协议期限届满前协商一致，并签订新的顾问协议。</w:t>
      </w:r>
    </w:p>
    <w:p w14:paraId="2E702079">
      <w:pPr>
        <w:numPr>
          <w:ilvl w:val="0"/>
          <w:numId w:val="1"/>
        </w:num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服务费用及结算方式</w:t>
      </w:r>
    </w:p>
    <w:p w14:paraId="1E9A7EA7">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1、甲方须按照有关税务咨询业务收费办法，于签订本协议之日向乙方支付税务咨询服务费，含税金额总计：</w:t>
      </w:r>
      <w:r>
        <w:rPr>
          <w:rFonts w:hint="eastAsia" w:ascii="微软雅黑" w:hAnsi="微软雅黑" w:eastAsia="微软雅黑" w:cs="微软雅黑"/>
          <w:sz w:val="28"/>
          <w:szCs w:val="36"/>
          <w:lang w:val="en-US" w:eastAsia="zh-CN"/>
        </w:rPr>
        <w:t>捌</w:t>
      </w:r>
      <w:r>
        <w:rPr>
          <w:rFonts w:hint="eastAsia" w:ascii="微软雅黑" w:hAnsi="微软雅黑" w:eastAsia="微软雅黑" w:cs="微软雅黑"/>
          <w:sz w:val="28"/>
          <w:szCs w:val="36"/>
        </w:rPr>
        <w:t>万元整 ￥</w:t>
      </w:r>
      <w:r>
        <w:rPr>
          <w:rFonts w:hint="eastAsia" w:ascii="微软雅黑" w:hAnsi="微软雅黑" w:eastAsia="微软雅黑" w:cs="微软雅黑"/>
          <w:sz w:val="28"/>
          <w:szCs w:val="36"/>
          <w:lang w:val="en-US" w:eastAsia="zh-CN"/>
        </w:rPr>
        <w:t>8</w:t>
      </w:r>
      <w:r>
        <w:rPr>
          <w:rFonts w:hint="eastAsia" w:ascii="微软雅黑" w:hAnsi="微软雅黑" w:eastAsia="微软雅黑" w:cs="微软雅黑"/>
          <w:sz w:val="28"/>
          <w:szCs w:val="36"/>
        </w:rPr>
        <w:t>0000.00元。</w:t>
      </w:r>
      <w:bookmarkStart w:id="0" w:name="_GoBack"/>
      <w:bookmarkEnd w:id="0"/>
    </w:p>
    <w:p w14:paraId="27F98517">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2、乙方的收款账户如下：</w:t>
      </w:r>
    </w:p>
    <w:p w14:paraId="58A4008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公司名称：盈科瑞诚税务师事务所（新疆）有限公司</w:t>
      </w:r>
    </w:p>
    <w:p w14:paraId="2F17C7B6">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开户银行：交通银行股份有限公司乌鲁木齐新医路支行</w:t>
      </w:r>
    </w:p>
    <w:p w14:paraId="3E5551B5">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帐    号：</w:t>
      </w:r>
      <w:r>
        <w:rPr>
          <w:rFonts w:ascii="微软雅黑" w:hAnsi="微软雅黑" w:eastAsia="微软雅黑" w:cs="微软雅黑"/>
          <w:sz w:val="28"/>
          <w:szCs w:val="36"/>
        </w:rPr>
        <w:t>651651005013001258948</w:t>
      </w:r>
    </w:p>
    <w:p w14:paraId="6A2C5642">
      <w:pPr>
        <w:numPr>
          <w:ilvl w:val="0"/>
          <w:numId w:val="2"/>
        </w:num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甲方知晓并认可，本协议约定的服务费用不包含税务部门收取的费用、乙方人员的差旅费用、征得甲方同意的其他支出等。</w:t>
      </w:r>
    </w:p>
    <w:p w14:paraId="41F60315">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四、双方的权利与义务</w:t>
      </w:r>
    </w:p>
    <w:p w14:paraId="15E1260E">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（一）乙方的权利与义务</w:t>
      </w:r>
    </w:p>
    <w:p w14:paraId="797DB05D">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1、乙方派出的税务咨询人员在咨询工作中，应恪守客观公正、实事求是原则，依法据实办事，并维护甲方的合法权益。</w:t>
      </w:r>
    </w:p>
    <w:p w14:paraId="65E3D259">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2、乙方应在协议规定期限内，及时完成双方约定的咨询业务。</w:t>
      </w:r>
    </w:p>
    <w:p w14:paraId="7009963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3、乙方派出的税务咨询在咨询工作中接触到甲方生产、技术和经营等方面有关机密的情况，要做到严守秘密。</w:t>
      </w:r>
    </w:p>
    <w:p w14:paraId="3AD3CB4A">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4、乙方有权按照本协议约定向甲方收取服务费用。</w:t>
      </w:r>
    </w:p>
    <w:p w14:paraId="6A2AA887">
      <w:pPr>
        <w:ind w:firstLine="560" w:firstLineChars="200"/>
        <w:rPr>
          <w:rFonts w:hint="eastAsia" w:ascii="微软雅黑" w:hAnsi="微软雅黑" w:eastAsia="微软雅黑" w:cs="微软雅黑"/>
          <w:b/>
          <w:bCs/>
          <w:sz w:val="28"/>
          <w:szCs w:val="36"/>
        </w:rPr>
      </w:pPr>
      <w:r>
        <w:rPr>
          <w:rFonts w:hint="eastAsia" w:ascii="微软雅黑" w:hAnsi="微软雅黑" w:eastAsia="微软雅黑" w:cs="微软雅黑"/>
          <w:sz w:val="28"/>
          <w:szCs w:val="36"/>
        </w:rPr>
        <w:t>5、如遇特殊专项时，要另行补充协议，</w:t>
      </w:r>
      <w:r>
        <w:rPr>
          <w:rFonts w:hint="eastAsia" w:ascii="微软雅黑" w:hAnsi="微软雅黑" w:eastAsia="微软雅黑" w:cs="微软雅黑"/>
          <w:b/>
          <w:bCs/>
          <w:sz w:val="28"/>
          <w:szCs w:val="36"/>
        </w:rPr>
        <w:t>其中年度所得税汇算清缴鉴证报告甲方不另行付费。</w:t>
      </w:r>
    </w:p>
    <w:p w14:paraId="01902A4C">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（二）甲方的权利与义务</w:t>
      </w:r>
    </w:p>
    <w:p w14:paraId="12B364A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1、甲方必须向乙方派出的税务咨询人员真实地提供有关咨询事项的各种资料、数据、情况和必要的工作条件。</w:t>
      </w:r>
    </w:p>
    <w:p w14:paraId="07281EC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2、甲方应在协议规定的期限内，及时足额支付咨询费用。</w:t>
      </w:r>
    </w:p>
    <w:p w14:paraId="29307BD0">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3、甲方有权选择乙方派出的税务咨询人员，乙方在可能的情况下应尽量满足甲方的要求，甲方对乙方派出的咨询人员的工作持有异议时，有权要求乙方予以更换。</w:t>
      </w:r>
    </w:p>
    <w:p w14:paraId="440AA468">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4、如有其他具体的服务内容，由甲乙双方以补充协议的方式另行协商确定具体的权利义务。</w:t>
      </w:r>
    </w:p>
    <w:p w14:paraId="6751F0B3">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五、违约责任</w:t>
      </w:r>
    </w:p>
    <w:p w14:paraId="4D8BED20">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1、由于甲方提供的情况和资料不及时、不全面、不真实，导致违反税收法规，其应缴未缴的税款、加收的滞纳金或罚款，均由甲方负责缴纳。</w:t>
      </w:r>
    </w:p>
    <w:p w14:paraId="0C14C643">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2、因乙方派出的税务咨询人的原因导致乙方未能及时发现甲方的税务风险的，则乙方按比例退还已收取的服务费用，但应缴未缴、加收的滞纳金和罚款仍由甲方承担。</w:t>
      </w:r>
    </w:p>
    <w:p w14:paraId="14069F75">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3、如甲方未按本协议约定支付服务费用的，乙方有权不提供咨询服务，并且乙方有权按照甲方应付未付款项的万分之一每日收取滞纳金。</w:t>
      </w:r>
    </w:p>
    <w:p w14:paraId="5D1FF7EF">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4、本协议签订后，如乙方无故终止履行协议，则乙方应在扣除已产生的必要费用后将剩余费用退还给甲方，如甲方无故终止履行协议，咨询费用不予退还。</w:t>
      </w:r>
    </w:p>
    <w:p w14:paraId="2E778103">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六、争议解决</w:t>
      </w:r>
    </w:p>
    <w:p w14:paraId="399D2D3A">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因履行本协议发生的全部争议，双方均应友好协商解决，协商不成的，双方均有权向甲方所在地人民法院提起诉讼。</w:t>
      </w:r>
    </w:p>
    <w:p w14:paraId="5DDCDB71">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七、本协议未尽事宜，需经双方协商一致方能补充修改或变更。如一方因故需终止协议，必须提交通知另一方，协商解决有关事宜。</w:t>
      </w:r>
    </w:p>
    <w:p w14:paraId="7CDB61ED">
      <w:pPr>
        <w:ind w:firstLine="560" w:firstLineChars="200"/>
        <w:rPr>
          <w:rFonts w:ascii="微软雅黑" w:hAnsi="微软雅黑" w:eastAsia="微软雅黑" w:cs="微软雅黑"/>
          <w:sz w:val="28"/>
          <w:szCs w:val="36"/>
        </w:rPr>
      </w:pPr>
      <w:r>
        <w:rPr>
          <w:rFonts w:hint="eastAsia" w:ascii="微软雅黑" w:hAnsi="微软雅黑" w:eastAsia="微软雅黑" w:cs="微软雅黑"/>
          <w:sz w:val="28"/>
          <w:szCs w:val="36"/>
        </w:rPr>
        <w:t>八、本协议自双方签字盖章之日起生效，一式两份，双方各执一份，具有同等法律效力。本协议项下的补充协议、附件均是本协议不可分割的一部分，与本协议具有同等法律效力。</w:t>
      </w:r>
    </w:p>
    <w:p w14:paraId="651D2F9A">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九、甲方日常税务顾问服务范围还包括：新疆通力房地产开发有限公司库尔勒二分公司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、新疆元盛美华房地产开发有限责任公司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、新疆通力房地产开发有限公司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、新疆通力房地产开发有限公司阿克苏分公司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、新疆通力房地产开发有限公司拜城县分公司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、阿克苏通力房地产开发有限公司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、创晅（上海）能源科技有限责任公司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、新疆创享供应链管理服务有限公司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、库尔勒市泉创商贸有限公司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w:t>
      </w:r>
    </w:p>
    <w:p w14:paraId="790F4378">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库尔勒创智源房地产经纪有限公司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、且末县通力水电有限责任公司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、新疆通力塔格拉克水电有限公司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、巴州温和水电开发有限公司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、新疆鸿昌能源投资有限公司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、阿克苏顺裕农业科技开发有限公司</w:t>
      </w:r>
      <w:r>
        <w:rPr>
          <w:rFonts w:hint="eastAsia" w:ascii="微软雅黑" w:hAnsi="微软雅黑" w:eastAsia="微软雅黑" w:cs="微软雅黑"/>
          <w:sz w:val="28"/>
          <w:szCs w:val="36"/>
        </w:rPr>
        <w:tab/>
      </w:r>
      <w:r>
        <w:rPr>
          <w:rFonts w:hint="eastAsia" w:ascii="微软雅黑" w:hAnsi="微软雅黑" w:eastAsia="微软雅黑" w:cs="微软雅黑"/>
          <w:sz w:val="28"/>
          <w:szCs w:val="36"/>
        </w:rPr>
        <w:t>。</w:t>
      </w:r>
    </w:p>
    <w:p w14:paraId="0748C62D">
      <w:pPr>
        <w:ind w:firstLine="560" w:firstLineChars="200"/>
        <w:rPr>
          <w:rFonts w:hint="eastAsia" w:ascii="微软雅黑" w:hAnsi="微软雅黑" w:eastAsia="微软雅黑" w:cs="微软雅黑"/>
          <w:sz w:val="28"/>
          <w:szCs w:val="36"/>
        </w:rPr>
      </w:pPr>
      <w:r>
        <w:rPr>
          <w:rFonts w:hint="eastAsia" w:ascii="微软雅黑" w:hAnsi="微软雅黑" w:eastAsia="微软雅黑" w:cs="微软雅黑"/>
          <w:sz w:val="28"/>
          <w:szCs w:val="36"/>
        </w:rPr>
        <w:t>（以下无正文）</w:t>
      </w:r>
    </w:p>
    <w:p w14:paraId="0DE7503E">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ab/>
      </w:r>
    </w:p>
    <w:p w14:paraId="6F30CA8C">
      <w:pPr>
        <w:rPr>
          <w:rFonts w:ascii="微软雅黑" w:hAnsi="微软雅黑" w:eastAsia="微软雅黑" w:cs="微软雅黑"/>
          <w:sz w:val="28"/>
          <w:szCs w:val="36"/>
        </w:rPr>
      </w:pPr>
    </w:p>
    <w:p w14:paraId="7DFE0E38">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甲方（盖章）：                 乙方（盖章）：</w:t>
      </w:r>
    </w:p>
    <w:p w14:paraId="16748749">
      <w:pPr>
        <w:rPr>
          <w:rFonts w:hint="eastAsia" w:ascii="微软雅黑" w:hAnsi="微软雅黑" w:eastAsia="微软雅黑" w:cs="微软雅黑"/>
          <w:sz w:val="28"/>
          <w:szCs w:val="36"/>
        </w:rPr>
      </w:pPr>
    </w:p>
    <w:p w14:paraId="0F76C8A0">
      <w:pPr>
        <w:rPr>
          <w:rFonts w:hint="eastAsia" w:ascii="微软雅黑" w:hAnsi="微软雅黑" w:eastAsia="微软雅黑" w:cs="微软雅黑"/>
          <w:sz w:val="28"/>
          <w:szCs w:val="36"/>
        </w:rPr>
      </w:pPr>
      <w:r>
        <w:rPr>
          <w:rFonts w:hint="eastAsia" w:ascii="微软雅黑" w:hAnsi="微软雅黑" w:eastAsia="微软雅黑" w:cs="微软雅黑"/>
          <w:sz w:val="28"/>
          <w:szCs w:val="36"/>
        </w:rPr>
        <w:t>法人代表：                    法人代表：</w:t>
      </w:r>
    </w:p>
    <w:p w14:paraId="5AFB5214">
      <w:pPr>
        <w:rPr>
          <w:rFonts w:hint="eastAsia" w:ascii="微软雅黑" w:hAnsi="微软雅黑" w:eastAsia="微软雅黑" w:cs="微软雅黑"/>
          <w:sz w:val="28"/>
          <w:szCs w:val="36"/>
        </w:rPr>
      </w:pPr>
    </w:p>
    <w:p w14:paraId="7688ACB1">
      <w:r>
        <w:rPr>
          <w:rFonts w:hint="eastAsia" w:ascii="微软雅黑" w:hAnsi="微软雅黑" w:eastAsia="微软雅黑" w:cs="微软雅黑"/>
          <w:sz w:val="28"/>
          <w:szCs w:val="36"/>
        </w:rPr>
        <w:t>时间：    年    月    日      时间：    年   月   日</w:t>
      </w:r>
    </w:p>
    <w:p w14:paraId="0EFDCB6F">
      <w:pPr>
        <w:ind w:firstLine="560" w:firstLineChars="200"/>
        <w:rPr>
          <w:rFonts w:hint="eastAsia" w:ascii="微软雅黑" w:hAnsi="微软雅黑" w:eastAsia="微软雅黑" w:cs="微软雅黑"/>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CBFE5">
    <w:pPr>
      <w:pStyle w:val="4"/>
      <w:jc w:val="both"/>
      <w:rPr>
        <w:rFonts w:hint="eastAsia" w:ascii="微软雅黑" w:hAnsi="微软雅黑" w:eastAsia="微软雅黑" w:cs="微软雅黑"/>
      </w:rPr>
    </w:pPr>
    <w:r>
      <mc:AlternateContent>
        <mc:Choice Requires="wps">
          <w:drawing>
            <wp:anchor distT="0" distB="0" distL="114300" distR="114300" simplePos="0" relativeHeight="251663360" behindDoc="0" locked="0" layoutInCell="1" allowOverlap="1">
              <wp:simplePos x="0" y="0"/>
              <wp:positionH relativeFrom="margin">
                <wp:posOffset>2766695</wp:posOffset>
              </wp:positionH>
              <wp:positionV relativeFrom="paragraph">
                <wp:posOffset>92075</wp:posOffset>
              </wp:positionV>
              <wp:extent cx="935355" cy="139700"/>
              <wp:effectExtent l="0" t="0" r="0" b="12700"/>
              <wp:wrapNone/>
              <wp:docPr id="3" name="文本框 3"/>
              <wp:cNvGraphicFramePr/>
              <a:graphic xmlns:a="http://schemas.openxmlformats.org/drawingml/2006/main">
                <a:graphicData uri="http://schemas.microsoft.com/office/word/2010/wordprocessingShape">
                  <wps:wsp>
                    <wps:cNvSpPr txBox="1"/>
                    <wps:spPr>
                      <a:xfrm>
                        <a:off x="0" y="0"/>
                        <a:ext cx="935672" cy="14001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B1D1E">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85pt;margin-top:7.25pt;height:11pt;width:73.65pt;mso-position-horizontal-relative:margin;z-index:251663360;mso-width-relative:page;mso-height-relative:page;" filled="f" stroked="f" coordsize="21600,21600" o:gfxdata="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og+wDYAAAACQEAAA8AAAAAAAAAAQAgAAAAIgAAAGRycy9kb3ducmV2Lnht&#10;bFBLAQIUABQAAAAIAIdO4kB3FfvhMgIAAFUEAAAOAAAAAAAAAAEAIAAAACcBAABkcnMvZTJvRG9j&#10;LnhtbFBLBQYAAAAABgAGAFkBAADLBQAAAAA=&#10;">
              <v:fill on="f" focussize="0,0"/>
              <v:stroke on="f" weight="0.5pt"/>
              <v:imagedata o:title=""/>
              <o:lock v:ext="edit" aspectratio="f"/>
              <v:textbox inset="0mm,0mm,0mm,0mm">
                <w:txbxContent>
                  <w:p w14:paraId="764B1D1E">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59264" behindDoc="0" locked="0" layoutInCell="1" allowOverlap="1">
              <wp:simplePos x="0" y="0"/>
              <wp:positionH relativeFrom="column">
                <wp:posOffset>-984885</wp:posOffset>
              </wp:positionH>
              <wp:positionV relativeFrom="paragraph">
                <wp:posOffset>-22225</wp:posOffset>
              </wp:positionV>
              <wp:extent cx="7868920" cy="15240"/>
              <wp:effectExtent l="0" t="4445" r="17780" b="8890"/>
              <wp:wrapNone/>
              <wp:docPr id="4" name="直接连接符 4"/>
              <wp:cNvGraphicFramePr/>
              <a:graphic xmlns:a="http://schemas.openxmlformats.org/drawingml/2006/main">
                <a:graphicData uri="http://schemas.microsoft.com/office/word/2010/wordprocessingShape">
                  <wps:wsp>
                    <wps:cNvCnPr/>
                    <wps:spPr>
                      <a:xfrm>
                        <a:off x="0" y="0"/>
                        <a:ext cx="7868920" cy="15240"/>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7.55pt;margin-top:-1.75pt;height:1.2pt;width:619.6pt;z-index:251659264;mso-width-relative:page;mso-height-relative:page;" filled="f" stroked="t" coordsize="21600,21600" o:gfxdata="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wy9HN2gAAAAsB&#10;AAAPAAAAAAAAAAEAIAAAACIAAABkcnMvZG93bnJldi54bWxQSwECFAAUAAAACACHTuJAWKcE1uAB&#10;AACeAwAADgAAAAAAAAABACAAAAApAQAAZHJzL2Uyb0RvYy54bWxQSwUGAAAAAAYABgBZAQAAewUA&#10;AAAA&#10;">
              <v:fill on="f" focussize="0,0"/>
              <v:stroke color="#BF9D6D [3204]"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D56F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D29A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0ABFB">
    <w:r>
      <w:drawing>
        <wp:anchor distT="0" distB="0" distL="114300" distR="114300" simplePos="0" relativeHeight="251662336" behindDoc="1" locked="0" layoutInCell="1" allowOverlap="1">
          <wp:simplePos x="0" y="0"/>
          <wp:positionH relativeFrom="column">
            <wp:posOffset>-243840</wp:posOffset>
          </wp:positionH>
          <wp:positionV relativeFrom="paragraph">
            <wp:posOffset>128270</wp:posOffset>
          </wp:positionV>
          <wp:extent cx="1798955" cy="415290"/>
          <wp:effectExtent l="0" t="0" r="0" b="0"/>
          <wp:wrapNone/>
          <wp:docPr id="377471714" name="图片 377471714" descr="C:\Users\augen\Desktop\盈科财税VI2022\logo\盈科财税logo最新.png盈科财税logo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71714" name="图片 377471714" descr="C:\Users\augen\Desktop\盈科财税VI2022\logo\盈科财税logo最新.png盈科财税logo最新"/>
                  <pic:cNvPicPr>
                    <a:picLocks noChangeAspect="1"/>
                  </pic:cNvPicPr>
                </pic:nvPicPr>
                <pic:blipFill>
                  <a:blip r:embed="rId1"/>
                  <a:srcRect l="6616" t="14249" r="14364" b="17458"/>
                  <a:stretch>
                    <a:fillRect/>
                  </a:stretch>
                </pic:blipFill>
                <pic:spPr>
                  <a:xfrm>
                    <a:off x="0" y="0"/>
                    <a:ext cx="1798955" cy="415290"/>
                  </a:xfrm>
                  <a:prstGeom prst="rect">
                    <a:avLst/>
                  </a:prstGeom>
                </pic:spPr>
              </pic:pic>
            </a:graphicData>
          </a:graphic>
        </wp:anchor>
      </w:drawing>
    </w:r>
  </w:p>
  <w:p w14:paraId="76B2A9BA"/>
  <w:p w14:paraId="3F2633FD">
    <w:pPr>
      <w:tabs>
        <w:tab w:val="left" w:pos="1260"/>
      </w:tabs>
    </w:pPr>
    <w:r>
      <w:tab/>
    </w:r>
    <w:r>
      <w:tab/>
    </w:r>
    <w:r>
      <w:tab/>
    </w:r>
    <w:r>
      <w:tab/>
    </w:r>
  </w:p>
  <w:p w14:paraId="37A54EA5">
    <w:r>
      <w:drawing>
        <wp:anchor distT="0" distB="0" distL="114300" distR="114300" simplePos="0" relativeHeight="251661312" behindDoc="1" locked="0" layoutInCell="1" allowOverlap="1">
          <wp:simplePos x="0" y="0"/>
          <wp:positionH relativeFrom="column">
            <wp:posOffset>1691640</wp:posOffset>
          </wp:positionH>
          <wp:positionV relativeFrom="paragraph">
            <wp:posOffset>1903730</wp:posOffset>
          </wp:positionV>
          <wp:extent cx="2712085" cy="3879850"/>
          <wp:effectExtent l="0" t="0" r="12065" b="6350"/>
          <wp:wrapNone/>
          <wp:docPr id="870221042" name="图片 87022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21042" name="图片 87022104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12085" cy="387985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-871220</wp:posOffset>
              </wp:positionH>
              <wp:positionV relativeFrom="paragraph">
                <wp:posOffset>153670</wp:posOffset>
              </wp:positionV>
              <wp:extent cx="7758430" cy="825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7758430" cy="8255"/>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68.6pt;margin-top:12.1pt;height:0.65pt;width:610.9pt;z-index:251660288;mso-width-relative:page;mso-height-relative:page;" filled="f" stroked="t" coordsize="21600,21600" o:gfxdata="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qv3yzY&#10;AAAACwEAAA8AAAAAAAAAAQAgAAAAIgAAAGRycy9kb3ducmV2LnhtbFBLAQIUABQAAAAIAIdO4kAt&#10;nK7l5wEAAKcDAAAOAAAAAAAAAAEAIAAAACcBAABkcnMvZTJvRG9jLnhtbFBLBQYAAAAABgAGAFkB&#10;AACABQAAAAA=&#10;">
              <v:fill on="f" focussize="0,0"/>
              <v:stroke color="#BF9D6D [3204]"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2B3E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189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2969C"/>
    <w:multiLevelType w:val="singleLevel"/>
    <w:tmpl w:val="A942969C"/>
    <w:lvl w:ilvl="0" w:tentative="0">
      <w:start w:val="2"/>
      <w:numFmt w:val="chineseCounting"/>
      <w:suff w:val="nothing"/>
      <w:lvlText w:val="%1、"/>
      <w:lvlJc w:val="left"/>
      <w:rPr>
        <w:rFonts w:hint="eastAsia"/>
      </w:rPr>
    </w:lvl>
  </w:abstractNum>
  <w:abstractNum w:abstractNumId="1">
    <w:nsid w:val="F21FBA03"/>
    <w:multiLevelType w:val="singleLevel"/>
    <w:tmpl w:val="F21FBA0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mZTEwZmVkZWIwNzAzYzQxNGQ5N2M2MmRlZTEzMzEifQ=="/>
  </w:docVars>
  <w:rsids>
    <w:rsidRoot w:val="005C1B7C"/>
    <w:rsid w:val="00012116"/>
    <w:rsid w:val="00014DB1"/>
    <w:rsid w:val="00033698"/>
    <w:rsid w:val="00063638"/>
    <w:rsid w:val="00070725"/>
    <w:rsid w:val="00085A06"/>
    <w:rsid w:val="000A18DD"/>
    <w:rsid w:val="000F53D5"/>
    <w:rsid w:val="001026F2"/>
    <w:rsid w:val="00131E8D"/>
    <w:rsid w:val="001612FE"/>
    <w:rsid w:val="0017396B"/>
    <w:rsid w:val="001B2FF8"/>
    <w:rsid w:val="001D1E1C"/>
    <w:rsid w:val="00216890"/>
    <w:rsid w:val="00261218"/>
    <w:rsid w:val="00265529"/>
    <w:rsid w:val="002B5D48"/>
    <w:rsid w:val="002B7220"/>
    <w:rsid w:val="002C7555"/>
    <w:rsid w:val="002D029F"/>
    <w:rsid w:val="002E4CA7"/>
    <w:rsid w:val="00335540"/>
    <w:rsid w:val="00345EC7"/>
    <w:rsid w:val="00513BEF"/>
    <w:rsid w:val="00515259"/>
    <w:rsid w:val="0052277D"/>
    <w:rsid w:val="0054095A"/>
    <w:rsid w:val="005C1B7C"/>
    <w:rsid w:val="00605A93"/>
    <w:rsid w:val="00661572"/>
    <w:rsid w:val="006C6E47"/>
    <w:rsid w:val="006D53E6"/>
    <w:rsid w:val="006D59BF"/>
    <w:rsid w:val="00724E8B"/>
    <w:rsid w:val="00741DE5"/>
    <w:rsid w:val="00767E60"/>
    <w:rsid w:val="007B5352"/>
    <w:rsid w:val="00803CBD"/>
    <w:rsid w:val="008767BB"/>
    <w:rsid w:val="00877F9C"/>
    <w:rsid w:val="008E0CF7"/>
    <w:rsid w:val="00906BA9"/>
    <w:rsid w:val="009D0D18"/>
    <w:rsid w:val="00A139CB"/>
    <w:rsid w:val="00A35073"/>
    <w:rsid w:val="00A64E75"/>
    <w:rsid w:val="00A71350"/>
    <w:rsid w:val="00A86869"/>
    <w:rsid w:val="00A94681"/>
    <w:rsid w:val="00AA3270"/>
    <w:rsid w:val="00AB6D50"/>
    <w:rsid w:val="00B12646"/>
    <w:rsid w:val="00B93A61"/>
    <w:rsid w:val="00BB180D"/>
    <w:rsid w:val="00BD30CC"/>
    <w:rsid w:val="00BE2B0B"/>
    <w:rsid w:val="00C2189C"/>
    <w:rsid w:val="00C24705"/>
    <w:rsid w:val="00C578A7"/>
    <w:rsid w:val="00C71208"/>
    <w:rsid w:val="00C738E1"/>
    <w:rsid w:val="00CA2437"/>
    <w:rsid w:val="00CA74F5"/>
    <w:rsid w:val="00CC35B5"/>
    <w:rsid w:val="00D3738B"/>
    <w:rsid w:val="00D95D0D"/>
    <w:rsid w:val="00E16094"/>
    <w:rsid w:val="00E248A9"/>
    <w:rsid w:val="00E503ED"/>
    <w:rsid w:val="00E9154A"/>
    <w:rsid w:val="00EC5FC4"/>
    <w:rsid w:val="00EE4FDD"/>
    <w:rsid w:val="00F462D9"/>
    <w:rsid w:val="00F51911"/>
    <w:rsid w:val="00F54A97"/>
    <w:rsid w:val="00F736F4"/>
    <w:rsid w:val="00F93148"/>
    <w:rsid w:val="00FE1BAE"/>
    <w:rsid w:val="00FE53F7"/>
    <w:rsid w:val="014A3B82"/>
    <w:rsid w:val="0B26008E"/>
    <w:rsid w:val="0B294BBC"/>
    <w:rsid w:val="0C782174"/>
    <w:rsid w:val="0F0E3698"/>
    <w:rsid w:val="158F78F1"/>
    <w:rsid w:val="15C72FE5"/>
    <w:rsid w:val="160917FC"/>
    <w:rsid w:val="186F6D37"/>
    <w:rsid w:val="18AB5423"/>
    <w:rsid w:val="2B083239"/>
    <w:rsid w:val="2E4F1D41"/>
    <w:rsid w:val="39D633EE"/>
    <w:rsid w:val="4C983FC5"/>
    <w:rsid w:val="4DB210B7"/>
    <w:rsid w:val="4E702316"/>
    <w:rsid w:val="50A17A6E"/>
    <w:rsid w:val="5EAB3587"/>
    <w:rsid w:val="678425FD"/>
    <w:rsid w:val="6C5D7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5"/>
    <w:qFormat/>
    <w:uiPriority w:val="0"/>
    <w:pPr>
      <w:spacing w:line="400" w:lineRule="exact"/>
      <w:ind w:left="4081" w:leftChars="229" w:hanging="3600" w:hangingChars="1500"/>
    </w:pPr>
    <w:rPr>
      <w:sz w:val="24"/>
    </w:r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Title"/>
    <w:basedOn w:val="1"/>
    <w:next w:val="1"/>
    <w:link w:val="17"/>
    <w:qFormat/>
    <w:uiPriority w:val="10"/>
    <w:pPr>
      <w:spacing w:before="240" w:after="60"/>
      <w:jc w:val="center"/>
      <w:outlineLvl w:val="0"/>
    </w:pPr>
    <w:rPr>
      <w:rFonts w:asciiTheme="majorHAnsi" w:hAnsiTheme="majorHAnsi" w:cstheme="majorBidi"/>
      <w:b/>
      <w:bCs/>
      <w:sz w:val="32"/>
      <w:szCs w:val="32"/>
    </w:rPr>
  </w:style>
  <w:style w:type="character" w:styleId="10">
    <w:name w:val="Strong"/>
    <w:qFormat/>
    <w:uiPriority w:val="0"/>
    <w:rPr>
      <w:b/>
      <w:bCs/>
    </w:rPr>
  </w:style>
  <w:style w:type="character" w:styleId="11">
    <w:name w:val="Hyperlink"/>
    <w:basedOn w:val="9"/>
    <w:semiHidden/>
    <w:unhideWhenUsed/>
    <w:qFormat/>
    <w:uiPriority w:val="99"/>
    <w:rPr>
      <w:color w:val="0000FF"/>
      <w:u w:val="single"/>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sz w:val="18"/>
      <w:szCs w:val="18"/>
    </w:rPr>
  </w:style>
  <w:style w:type="character" w:customStyle="1" w:styleId="15">
    <w:name w:val="正文文本缩进 2 字符"/>
    <w:basedOn w:val="9"/>
    <w:link w:val="2"/>
    <w:qFormat/>
    <w:uiPriority w:val="0"/>
    <w:rPr>
      <w:rFonts w:ascii="Times New Roman" w:hAnsi="Times New Roman" w:eastAsia="宋体" w:cs="Times New Roman"/>
      <w:sz w:val="24"/>
      <w:szCs w:val="24"/>
    </w:rPr>
  </w:style>
  <w:style w:type="paragraph" w:styleId="16">
    <w:name w:val="List Paragraph"/>
    <w:basedOn w:val="1"/>
    <w:qFormat/>
    <w:uiPriority w:val="34"/>
    <w:pPr>
      <w:ind w:firstLine="420" w:firstLineChars="200"/>
    </w:pPr>
  </w:style>
  <w:style w:type="character" w:customStyle="1" w:styleId="17">
    <w:name w:val="标题 字符"/>
    <w:basedOn w:val="9"/>
    <w:link w:val="7"/>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485BF6-71E1-4963-B2F9-53E99BF561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1949</Words>
  <Characters>2001</Characters>
  <Lines>15</Lines>
  <Paragraphs>4</Paragraphs>
  <TotalTime>17</TotalTime>
  <ScaleCrop>false</ScaleCrop>
  <LinksUpToDate>false</LinksUpToDate>
  <CharactersWithSpaces>2108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2023-08-15T09:02:00Z</dcterms:created>
  <dc:creator>administrator</dc:creator>
  <cp:lastModifiedBy>sunny</cp:lastModifiedBy>
  <dcterms:modified xsi:type="dcterms:W3CDTF">2025-02-21T03:53:38Z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EE2457B7DF0B49568EFDB1F3321FD7FD</vt:lpwstr>
  </property>
  <property fmtid="{D5CDD505-2E9C-101B-9397-08002B2CF9AE}" pid="4" name="KSOTemplateDocerSaveRecord">
    <vt:lpwstr>eyJoZGlkIjoiYmE3MTlhZWYzMmI0MTViMmEzMWY4ZDMzMGVkM2ExNWQiLCJ1c2VySWQiOiIyNzI4NDY2NDgifQ==</vt:lpwstr>
  </property>
</Properties>
</file>