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66D14B">
      <w:pPr>
        <w:jc w:val="center"/>
        <w:rPr>
          <w:rFonts w:hint="eastAsia"/>
          <w:b/>
          <w:bCs/>
          <w:color w:val="auto"/>
          <w:sz w:val="36"/>
          <w:szCs w:val="44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36"/>
          <w:szCs w:val="44"/>
          <w:highlight w:val="none"/>
          <w:lang w:val="en-US" w:eastAsia="zh-CN"/>
        </w:rPr>
        <w:t>伊犁哈萨克自治州尼勒克县孟克特水电站</w:t>
      </w:r>
    </w:p>
    <w:p w14:paraId="118E45CE">
      <w:pPr>
        <w:jc w:val="center"/>
        <w:rPr>
          <w:rFonts w:hint="default"/>
          <w:b/>
          <w:bCs/>
          <w:color w:val="auto"/>
          <w:sz w:val="36"/>
          <w:szCs w:val="44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36"/>
          <w:szCs w:val="44"/>
          <w:highlight w:val="none"/>
          <w:lang w:val="en-US" w:eastAsia="zh-CN"/>
        </w:rPr>
        <w:t>施工合同</w:t>
      </w:r>
    </w:p>
    <w:p w14:paraId="02EFD1E6">
      <w:pPr>
        <w:rPr>
          <w:rFonts w:hint="eastAsia" w:ascii="仿宋" w:hAnsi="仿宋" w:eastAsia="仿宋" w:cs="仿宋"/>
          <w:color w:val="auto"/>
          <w:highlight w:val="none"/>
        </w:rPr>
      </w:pPr>
    </w:p>
    <w:p w14:paraId="36152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甲方：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eastAsia="zh-CN"/>
        </w:rPr>
        <w:t>尼勒克县孟克特水电投资有限公司</w:t>
      </w:r>
    </w:p>
    <w:p w14:paraId="2DF336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乙方：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新疆荣欣浩建设工程有限公司</w:t>
      </w:r>
    </w:p>
    <w:p w14:paraId="2D94B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</w:p>
    <w:p w14:paraId="54D019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鉴于：</w:t>
      </w:r>
    </w:p>
    <w:p w14:paraId="2EAEAD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甲方需对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eastAsia="zh-CN"/>
        </w:rPr>
        <w:t>孟克特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电站的几处设施进行维修，乙方具备相应的施工能力和经验，双方本着平等互利的原则，达成如下协议：</w:t>
      </w:r>
    </w:p>
    <w:p w14:paraId="1D1C2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  <w:lang w:val="en-US" w:eastAsia="zh-CN"/>
        </w:rPr>
        <w:t xml:space="preserve">1 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  <w:t xml:space="preserve"> 工程范围</w:t>
      </w:r>
    </w:p>
    <w:p w14:paraId="368BA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1.1 电站的前池混凝土表面修复、引水渠漏水修补、侧墙混凝土脱落修补、溢洪道玻璃钢管破损更换或修补。</w:t>
      </w:r>
    </w:p>
    <w:p w14:paraId="237787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 xml:space="preserve">1.2 </w:t>
      </w:r>
      <w:bookmarkStart w:id="0" w:name="_GoBack"/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电站进排水管保温层老化损坏，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对管路进行除锈并保温，按照工业生产管道基本识别色进行刷漆。</w:t>
      </w:r>
    </w:p>
    <w:bookmarkEnd w:id="0"/>
    <w:p w14:paraId="53052D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1.3 引水渠盖板与侧墙接缝处漏水处理、压力管道裂缝修补。</w:t>
      </w:r>
    </w:p>
    <w:p w14:paraId="660EB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  <w:lang w:val="en-US" w:eastAsia="zh-CN"/>
        </w:rPr>
        <w:t xml:space="preserve">2 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  <w:t xml:space="preserve"> 工程内容及方案</w:t>
      </w:r>
    </w:p>
    <w:p w14:paraId="25BD12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2.1 前池及引水渠修复</w:t>
      </w:r>
    </w:p>
    <w:p w14:paraId="3C2E83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2.1.1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对前池混凝土表面不平整、风化严重部分进行修复；</w:t>
      </w:r>
    </w:p>
    <w:p w14:paraId="7C5D0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2.1.2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对引水渠漏水、侧墙混凝土脱落部分进行修补；</w:t>
      </w:r>
    </w:p>
    <w:p w14:paraId="15A087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2.1.3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对溢洪道玻璃钢管破损进行更换或修复，优先更换管件，无法修复时更换主材（直径1.2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米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玻璃钢管）。</w:t>
      </w:r>
    </w:p>
    <w:p w14:paraId="24740E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2.1.4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对引水渠盖板与侧墙接缝处漏水进行高压注浆并在迎水面抹灰处理；</w:t>
      </w:r>
    </w:p>
    <w:p w14:paraId="45108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2.2</w:t>
      </w:r>
      <w:r>
        <w:rPr>
          <w:rFonts w:hint="default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对进水、排水管进行除锈、刷漆，并重新做保温层，保温层材料为:玻璃丝棉，管道直径 D200、D150,管道总长度约140m;</w:t>
      </w:r>
    </w:p>
    <w:p w14:paraId="4F2D90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2.3 以上工程内容的具体工程量以现场实际情况经甲方确认为准。</w:t>
      </w:r>
    </w:p>
    <w:p w14:paraId="38B61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  <w:lang w:val="en-US" w:eastAsia="zh-CN"/>
        </w:rPr>
        <w:t xml:space="preserve">3 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  <w:t xml:space="preserve"> 工程工期</w:t>
      </w:r>
    </w:p>
    <w:p w14:paraId="624A4B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3.1 工程计划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方案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由甲方代表与乙方共同制定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和签字确认，并制定合理工期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，超出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计划合理工期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部分不予结算。</w:t>
      </w:r>
    </w:p>
    <w:p w14:paraId="0AF23C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3.2 乙方需严格按照工期完成施工任务，若因乙方原因导致工期延误，乙方承担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甲方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相应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损失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。</w:t>
      </w:r>
    </w:p>
    <w:p w14:paraId="399A3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  <w:lang w:val="en-US" w:eastAsia="zh-CN"/>
        </w:rPr>
        <w:t xml:space="preserve">4 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  <w:t xml:space="preserve"> 工程造价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  <w:t>结算方式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  <w:lang w:val="en-US" w:eastAsia="zh-CN"/>
        </w:rPr>
        <w:t>和付款方式</w:t>
      </w:r>
    </w:p>
    <w:p w14:paraId="74E80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4.1 工程造价</w:t>
      </w:r>
    </w:p>
    <w:p w14:paraId="6AE28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工程内容均采取经甲方确认的成本+利润模式确定造价，其中：</w:t>
      </w:r>
    </w:p>
    <w:p w14:paraId="606C5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4.1.1人工费用：含管理人员、大工（电工）等所有工种，单价为400元/工日；</w:t>
      </w:r>
    </w:p>
    <w:p w14:paraId="55876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4.1.2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材料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以及机械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费用：以开票金额计入，税金单独计算；</w:t>
      </w:r>
    </w:p>
    <w:p w14:paraId="5E88C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4.1.3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利润：按总造价的15%计入结算。</w:t>
      </w:r>
    </w:p>
    <w:p w14:paraId="437BE2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4.2 结算方式</w:t>
      </w:r>
    </w:p>
    <w:p w14:paraId="4E03A7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工程竣工后，乙方提交完整的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工程量清单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，甲方在审核无误后[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15个工作日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]内完成结算。</w:t>
      </w:r>
    </w:p>
    <w:p w14:paraId="4671AA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4.3 支付方式</w:t>
      </w:r>
    </w:p>
    <w:p w14:paraId="5D5C97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4.3.1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完成结算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后甲方于15个工作日内向乙方支付97%工程款，剩余3%质保一年结束后付清。</w:t>
      </w:r>
    </w:p>
    <w:p w14:paraId="36365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4.3.2乙方应在甲方付款7日前提供合法合规的发票，否则甲方有权顺延相应付款期限。</w:t>
      </w:r>
    </w:p>
    <w:p w14:paraId="587F1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  <w:lang w:val="en-US" w:eastAsia="zh-CN"/>
        </w:rPr>
        <w:t xml:space="preserve">5 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  <w:t xml:space="preserve"> 双方权利与义务</w:t>
      </w:r>
    </w:p>
    <w:p w14:paraId="008097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5.1 甲方权利与义务</w:t>
      </w:r>
    </w:p>
    <w:p w14:paraId="303794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5.1.1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提供施工所需的相关资料及现场配合；</w:t>
      </w:r>
    </w:p>
    <w:p w14:paraId="3B732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5.1.2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按合同约定支付工程款。</w:t>
      </w:r>
    </w:p>
    <w:p w14:paraId="75C965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5.2 乙方权利与义务</w:t>
      </w:r>
    </w:p>
    <w:p w14:paraId="24DBB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5.2.1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按合同约定的范围、内容和标准完成施工任务；</w:t>
      </w:r>
    </w:p>
    <w:p w14:paraId="063DD1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5.2.2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确保施工安全，承担施工期间的安全责任；</w:t>
      </w:r>
    </w:p>
    <w:p w14:paraId="287CC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  <w:lang w:val="en-US" w:eastAsia="zh-CN"/>
        </w:rPr>
        <w:t xml:space="preserve">6 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  <w:t xml:space="preserve"> 违约责任</w:t>
      </w:r>
    </w:p>
    <w:p w14:paraId="5AF2D3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6.1 若甲方未按合同约定支付工程款，需按未支付金额的[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0.1%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]支付违约金。</w:t>
      </w:r>
    </w:p>
    <w:p w14:paraId="24661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6.2 若乙方未按合同约定的工期或质量标准完成施工任务，需承担相应的违约责任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每次违约，违约金按甲方结算审核金额的5%计扣，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并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向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赔偿甲方因此造成的损失。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br w:type="textWrapping"/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 xml:space="preserve">    6.3若乙方未按照合同第2.4条约定的方式进行施工，由此引发的任何直接损失（包括但不限于因施工不符合要求导致的工程返工费用、材料更换费用等）以及间接损失（例如因工期延误造成的额外管理成本、预期收益减少等），均应由乙方全额承担。乙方给甲方造成的损失由甲确认，由甲方给予损失量确认单。</w:t>
      </w:r>
    </w:p>
    <w:p w14:paraId="6E493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  <w:lang w:val="en-US" w:eastAsia="zh-CN"/>
        </w:rPr>
        <w:t xml:space="preserve">7 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  <w:t xml:space="preserve"> 争议解决</w:t>
      </w:r>
    </w:p>
    <w:p w14:paraId="52123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双方在履行合同过程中如有未尽事宜或发生争议的，双方应友好协商，妥善解决。如确实协商不成的，可向本合同签订地（乌鲁木齐市）人民法院提起诉讼解决。甲方为主张权利产生的所有费用（包括但不限于律师费、诉讼收费、保全费、诉讼保全担保费、公证费、鉴定费、评估费、以及因诉讼产生的交通费与住宿费等相关合理费用等）均由乙方进行承担。</w:t>
      </w:r>
    </w:p>
    <w:p w14:paraId="2ACAC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  <w:lang w:val="en-US" w:eastAsia="zh-CN"/>
        </w:rPr>
        <w:t xml:space="preserve">8 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  <w:t xml:space="preserve"> 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  <w:lang w:val="en-US" w:eastAsia="zh-CN"/>
        </w:rPr>
        <w:t>送达</w:t>
      </w:r>
    </w:p>
    <w:p w14:paraId="413E3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以合同签署页载明的双方地址、电话、电子邮箱作为双方约定的送达地址。送达地址需要变更时应当及时向各方履行书面通知义务，未履行通知义务的，合同首部确认的送达地址仍视为有效送达地址。因以下情形导致法律文书未能被当事人接收的，依然产生送达的法律后果：</w:t>
      </w:r>
    </w:p>
    <w:p w14:paraId="27C5EF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①因各方当事人提供或者确认的送达地址不准确的；</w:t>
      </w:r>
    </w:p>
    <w:p w14:paraId="73C29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②送达地址变更后未及时书面告知各方和人民法院的；</w:t>
      </w:r>
    </w:p>
    <w:p w14:paraId="4004D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③各方当事人或有权签收人拒绝签收的。</w:t>
      </w:r>
    </w:p>
    <w:p w14:paraId="3F225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发生上述情形时，邮寄送达的，以文书退回之日视为送达之日；微信送达、电子邮件送达的，以微信、电子邮件发送成功之日为送达之日</w:t>
      </w:r>
    </w:p>
    <w:p w14:paraId="297D65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  <w:lang w:val="en-US" w:eastAsia="zh-CN"/>
        </w:rPr>
        <w:t xml:space="preserve">8 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  <w:t xml:space="preserve"> 其他条款</w:t>
      </w:r>
    </w:p>
    <w:p w14:paraId="46217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8.1 本合同自双方签字盖章之日起生效。</w:t>
      </w:r>
    </w:p>
    <w:p w14:paraId="37C63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8.2 本合同一式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四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份，甲乙双方各执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两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份，具有同等法律效力。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br w:type="textWrapping"/>
      </w:r>
    </w:p>
    <w:p w14:paraId="185818E2">
      <w:pP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br w:type="page"/>
      </w:r>
    </w:p>
    <w:p w14:paraId="07929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3204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甲方：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eastAsia="zh-CN"/>
        </w:rPr>
        <w:t>尼勒克县孟克特水电投资有限公司</w:t>
      </w:r>
    </w:p>
    <w:p w14:paraId="76EFD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法定代表人：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李倩</w:t>
      </w:r>
    </w:p>
    <w:p w14:paraId="2C9A3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联系人：何昱珉</w:t>
      </w:r>
    </w:p>
    <w:p w14:paraId="03E172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联系方式：18119116451</w:t>
      </w:r>
    </w:p>
    <w:p w14:paraId="1EFD6B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开户银行：</w:t>
      </w:r>
    </w:p>
    <w:p w14:paraId="403640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银行帐号：</w:t>
      </w:r>
    </w:p>
    <w:p w14:paraId="73678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邮箱：2295947146@qq.com</w:t>
      </w:r>
    </w:p>
    <w:p w14:paraId="3FBFE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日期：</w:t>
      </w:r>
    </w:p>
    <w:p w14:paraId="6D8FDB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</w:p>
    <w:p w14:paraId="7D39D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乙方：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新疆荣欣浩建设工程有限公司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 xml:space="preserve"> 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 xml:space="preserve"> </w:t>
      </w:r>
    </w:p>
    <w:p w14:paraId="76ED9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法定代表人：</w:t>
      </w:r>
    </w:p>
    <w:p w14:paraId="41B570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联系人：</w:t>
      </w:r>
    </w:p>
    <w:p w14:paraId="288940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联系方式：</w:t>
      </w:r>
    </w:p>
    <w:p w14:paraId="344495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开户银行：</w:t>
      </w:r>
    </w:p>
    <w:p w14:paraId="127345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银行帐号：</w:t>
      </w:r>
    </w:p>
    <w:p w14:paraId="355183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邮箱：</w:t>
      </w:r>
    </w:p>
    <w:p w14:paraId="21999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日期：</w:t>
      </w:r>
    </w:p>
    <w:p w14:paraId="36886E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 xml:space="preserve"> </w:t>
      </w:r>
    </w:p>
    <w:sectPr>
      <w:type w:val="continuous"/>
      <w:pgSz w:w="11906" w:h="16838"/>
      <w:pgMar w:top="1440" w:right="1800" w:bottom="1440" w:left="1800" w:header="851" w:footer="992" w:gutter="0"/>
      <w:cols w:equalWidth="0" w:num="2">
        <w:col w:w="3940" w:space="425"/>
        <w:col w:w="3940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28428C"/>
    <w:rsid w:val="10BE3444"/>
    <w:rsid w:val="2D7A71DE"/>
    <w:rsid w:val="30380381"/>
    <w:rsid w:val="312B1A2F"/>
    <w:rsid w:val="33472437"/>
    <w:rsid w:val="37C5786B"/>
    <w:rsid w:val="531515F5"/>
    <w:rsid w:val="65B22390"/>
    <w:rsid w:val="68A80B42"/>
    <w:rsid w:val="743326A2"/>
    <w:rsid w:val="75D35639"/>
    <w:rsid w:val="7A623667"/>
    <w:rsid w:val="7D2F0793"/>
    <w:rsid w:val="7D553033"/>
    <w:rsid w:val="7D89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1675</Words>
  <Characters>1817</Characters>
  <Lines>0</Lines>
  <Paragraphs>0</Paragraphs>
  <TotalTime>2</TotalTime>
  <ScaleCrop>false</ScaleCrop>
  <LinksUpToDate>false</LinksUpToDate>
  <CharactersWithSpaces>1859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2025-03-26T11:06:00Z</dcterms:created>
  <dc:creator>Administrator</dc:creator>
  <cp:lastModifiedBy>荷笠带斜阳</cp:lastModifiedBy>
  <dcterms:modified xsi:type="dcterms:W3CDTF">2025-04-15T04:12:16Z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eyJoZGlkIjoiNDg3MTM5NjYwMDJlZGQxZjRhNzJlNWIzZmZhODUxMTgiLCJ1c2VySWQiOiI1NDgwNjc2NTIifQ==</vt:lpwstr>
  </property>
  <property fmtid="{D5CDD505-2E9C-101B-9397-08002B2CF9AE}" pid="4" name="ICV">
    <vt:lpwstr>D33664D1BAFD47E0898BDD0ACBAFD36C_13</vt:lpwstr>
  </property>
</Properties>
</file>