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6EAC51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420" w:lineRule="exact"/>
        <w:ind w:firstLine="883" w:firstLineChars="200"/>
        <w:jc w:val="center"/>
        <w:textAlignment w:val="baseline"/>
        <w:rPr>
          <w:rStyle w:val="6"/>
          <w:rFonts w:hint="eastAsia" w:ascii="仿宋_GB2312" w:hAnsi="仿宋_GB2312" w:eastAsia="宋体"/>
          <w:b/>
          <w:bCs/>
          <w:color w:val="000000"/>
          <w:sz w:val="44"/>
          <w:szCs w:val="44"/>
          <w:lang w:val="en-US" w:eastAsia="zh-CN"/>
        </w:rPr>
      </w:pPr>
    </w:p>
    <w:p w14:paraId="105731AF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240" w:lineRule="auto"/>
        <w:ind w:firstLine="883" w:firstLineChars="200"/>
        <w:jc w:val="center"/>
        <w:textAlignment w:val="baseline"/>
        <w:rPr>
          <w:rStyle w:val="6"/>
          <w:rFonts w:hint="eastAsia" w:ascii="仿宋_GB2312" w:hAnsi="仿宋_GB2312" w:eastAsia="宋体"/>
          <w:b/>
          <w:bCs/>
          <w:color w:val="000000"/>
          <w:sz w:val="44"/>
          <w:szCs w:val="44"/>
          <w:lang w:val="en-US" w:eastAsia="zh-CN"/>
        </w:rPr>
      </w:pPr>
      <w:r>
        <w:rPr>
          <w:rStyle w:val="6"/>
          <w:rFonts w:hint="eastAsia" w:ascii="仿宋_GB2312" w:hAnsi="仿宋_GB2312" w:eastAsia="宋体"/>
          <w:b/>
          <w:bCs/>
          <w:color w:val="000000"/>
          <w:sz w:val="44"/>
          <w:szCs w:val="44"/>
          <w:lang w:val="en-US" w:eastAsia="zh-CN"/>
        </w:rPr>
        <w:t>民事委托代理合同</w:t>
      </w:r>
    </w:p>
    <w:p w14:paraId="52BB7B21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420" w:lineRule="exact"/>
        <w:ind w:firstLine="482" w:firstLineChars="200"/>
        <w:jc w:val="right"/>
        <w:textAlignment w:val="baseline"/>
        <w:rPr>
          <w:rFonts w:hint="eastAsia" w:ascii="仿宋_GB2312" w:hAnsi="Times New Roman" w:eastAsia="仿宋_GB2312" w:cs="Times New Roman"/>
          <w:b/>
          <w:bCs/>
          <w:kern w:val="0"/>
          <w:sz w:val="24"/>
          <w:szCs w:val="24"/>
          <w:lang w:val="en-US" w:eastAsia="zh-CN"/>
        </w:rPr>
      </w:pPr>
      <w:r>
        <w:rPr>
          <w:rFonts w:hint="eastAsia" w:ascii="仿宋_GB2312" w:hAnsi="Times New Roman" w:eastAsia="仿宋_GB2312" w:cs="Times New Roman"/>
          <w:b/>
          <w:bCs/>
          <w:kern w:val="0"/>
          <w:sz w:val="24"/>
          <w:szCs w:val="24"/>
          <w:lang w:val="en-US" w:eastAsia="zh-CN"/>
        </w:rPr>
        <w:t>（ 2024）盈乌民字第UR4406号</w:t>
      </w:r>
    </w:p>
    <w:p w14:paraId="6C33F315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420" w:lineRule="exact"/>
        <w:ind w:firstLine="560" w:firstLineChars="200"/>
        <w:textAlignment w:val="baseline"/>
        <w:rPr>
          <w:rFonts w:hint="eastAsia" w:ascii="仿宋_GB2312" w:hAnsi="Times New Roman" w:eastAsia="仿宋_GB2312" w:cs="Times New Roman"/>
          <w:kern w:val="0"/>
          <w:sz w:val="28"/>
          <w:szCs w:val="28"/>
          <w:lang w:val="en-US" w:eastAsia="zh-CN"/>
        </w:rPr>
      </w:pPr>
      <w:r>
        <w:rPr>
          <w:rFonts w:hint="eastAsia" w:ascii="仿宋_GB2312" w:hAnsi="Times New Roman" w:eastAsia="仿宋_GB2312" w:cs="Times New Roman"/>
          <w:kern w:val="0"/>
          <w:sz w:val="28"/>
          <w:szCs w:val="28"/>
          <w:lang w:val="en-US" w:eastAsia="zh-CN"/>
        </w:rPr>
        <w:t xml:space="preserve"> </w:t>
      </w:r>
    </w:p>
    <w:p w14:paraId="1617E2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right="0" w:rightChars="0" w:firstLine="562" w:firstLineChars="200"/>
        <w:jc w:val="both"/>
        <w:textAlignment w:val="auto"/>
        <w:outlineLvl w:val="9"/>
        <w:rPr>
          <w:rFonts w:hint="eastAsia" w:ascii="仿宋_GB2312" w:hAnsi="仿宋_GB2312" w:eastAsia="仿宋_GB2312" w:cs="Calibri"/>
          <w:b/>
          <w:bCs/>
          <w:sz w:val="28"/>
          <w:szCs w:val="28"/>
        </w:rPr>
      </w:pPr>
      <w:r>
        <w:rPr>
          <w:rFonts w:hint="eastAsia" w:ascii="仿宋_GB2312" w:hAnsi="仿宋_GB2312" w:eastAsia="仿宋_GB2312" w:cs="Calibri"/>
          <w:b/>
          <w:bCs/>
          <w:sz w:val="28"/>
          <w:szCs w:val="28"/>
        </w:rPr>
        <w:t>甲</w:t>
      </w:r>
      <w:r>
        <w:rPr>
          <w:rFonts w:hint="eastAsia" w:ascii="仿宋_GB2312" w:hAnsi="仿宋_GB2312" w:eastAsia="仿宋_GB2312" w:cs="Calibri"/>
          <w:b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Calibri"/>
          <w:b/>
          <w:bCs/>
          <w:sz w:val="28"/>
          <w:szCs w:val="28"/>
        </w:rPr>
        <w:t>方：</w:t>
      </w:r>
      <w:r>
        <w:rPr>
          <w:rFonts w:hint="eastAsia" w:ascii="仿宋_GB2312" w:hAnsi="仿宋_GB2312" w:eastAsia="仿宋_GB2312" w:cs="Calibri"/>
          <w:b/>
          <w:bCs/>
          <w:sz w:val="28"/>
          <w:szCs w:val="28"/>
          <w:u w:val="single" w:color="auto"/>
          <w:lang w:val="en-US" w:eastAsia="zh-CN"/>
        </w:rPr>
        <w:t xml:space="preserve">   新疆宝发农资集团有限公司                        </w:t>
      </w:r>
    </w:p>
    <w:p w14:paraId="6BDA4C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Calibri"/>
          <w:b/>
          <w:bCs/>
          <w:color w:val="000000"/>
          <w:sz w:val="28"/>
          <w:szCs w:val="28"/>
          <w:u w:val="single" w:color="auto"/>
          <w:lang w:val="en-US" w:eastAsia="zh-CN"/>
        </w:rPr>
      </w:pPr>
      <w:r>
        <w:rPr>
          <w:rFonts w:hint="eastAsia" w:ascii="仿宋_GB2312" w:hAnsi="仿宋_GB2312" w:eastAsia="仿宋_GB2312" w:cs="Calibri"/>
          <w:b/>
          <w:bCs/>
          <w:sz w:val="28"/>
          <w:szCs w:val="28"/>
          <w:lang w:val="en-US" w:eastAsia="zh-CN"/>
        </w:rPr>
        <w:t xml:space="preserve">    统一社会信用代码</w:t>
      </w:r>
      <w:r>
        <w:rPr>
          <w:rFonts w:hint="eastAsia" w:ascii="仿宋_GB2312" w:hAnsi="仿宋_GB2312" w:eastAsia="仿宋_GB2312" w:cs="Calibri"/>
          <w:b/>
          <w:bCs/>
          <w:sz w:val="28"/>
          <w:szCs w:val="28"/>
        </w:rPr>
        <w:t>/</w:t>
      </w:r>
      <w:r>
        <w:rPr>
          <w:rFonts w:hint="eastAsia" w:ascii="仿宋_GB2312" w:hAnsi="仿宋_GB2312" w:eastAsia="仿宋_GB2312" w:cs="Calibri"/>
          <w:b/>
          <w:bCs/>
          <w:sz w:val="28"/>
          <w:szCs w:val="28"/>
          <w:lang w:val="en-US" w:eastAsia="zh-CN"/>
        </w:rPr>
        <w:t>公民身份号码</w:t>
      </w:r>
      <w:r>
        <w:rPr>
          <w:rFonts w:hint="eastAsia" w:ascii="仿宋_GB2312" w:hAnsi="仿宋_GB2312" w:eastAsia="仿宋_GB2312" w:cs="Calibri"/>
          <w:b/>
          <w:bCs/>
          <w:sz w:val="28"/>
          <w:szCs w:val="28"/>
        </w:rPr>
        <w:t>：</w:t>
      </w:r>
      <w:r>
        <w:rPr>
          <w:rFonts w:hint="eastAsia" w:ascii="仿宋_GB2312" w:hAnsi="仿宋_GB2312" w:eastAsia="仿宋_GB2312" w:cs="Calibri"/>
          <w:b/>
          <w:bCs/>
          <w:color w:val="000000"/>
          <w:sz w:val="28"/>
          <w:szCs w:val="28"/>
          <w:u w:val="single" w:color="auto"/>
          <w:lang w:val="en-US" w:eastAsia="zh-CN"/>
        </w:rPr>
        <w:t xml:space="preserve"> 916528007383574367             </w:t>
      </w:r>
      <w:bookmarkStart w:id="0" w:name="_GoBack"/>
      <w:bookmarkEnd w:id="0"/>
    </w:p>
    <w:p w14:paraId="4A2CD4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Calibri"/>
          <w:b/>
          <w:bCs/>
          <w:sz w:val="28"/>
          <w:szCs w:val="28"/>
        </w:rPr>
      </w:pPr>
      <w:r>
        <w:rPr>
          <w:rFonts w:hint="eastAsia" w:ascii="仿宋_GB2312" w:hAnsi="仿宋_GB2312" w:eastAsia="仿宋_GB2312" w:cs="Calibri"/>
          <w:b/>
          <w:bCs/>
          <w:color w:val="000000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Calibri"/>
          <w:b/>
          <w:bCs/>
          <w:color w:val="000000"/>
          <w:sz w:val="28"/>
          <w:szCs w:val="28"/>
        </w:rPr>
        <w:t>法定代表人</w:t>
      </w:r>
      <w:r>
        <w:rPr>
          <w:rFonts w:hint="eastAsia" w:ascii="仿宋_GB2312" w:hAnsi="仿宋_GB2312" w:eastAsia="仿宋_GB2312" w:cs="Calibri"/>
          <w:b/>
          <w:bCs/>
          <w:color w:val="000000"/>
          <w:sz w:val="28"/>
          <w:szCs w:val="28"/>
          <w:lang w:val="en-US" w:eastAsia="zh-CN"/>
        </w:rPr>
        <w:t>/联系人</w:t>
      </w:r>
      <w:r>
        <w:rPr>
          <w:rFonts w:hint="eastAsia" w:ascii="仿宋_GB2312" w:hAnsi="仿宋_GB2312" w:eastAsia="仿宋_GB2312" w:cs="Calibri"/>
          <w:b/>
          <w:bCs/>
          <w:color w:val="000000"/>
          <w:sz w:val="28"/>
          <w:szCs w:val="28"/>
        </w:rPr>
        <w:t>：</w:t>
      </w:r>
      <w:r>
        <w:rPr>
          <w:rFonts w:hint="eastAsia" w:ascii="仿宋_GB2312" w:hAnsi="仿宋_GB2312" w:eastAsia="仿宋_GB2312" w:cs="Calibri"/>
          <w:b/>
          <w:bCs/>
          <w:color w:val="000000"/>
          <w:sz w:val="28"/>
          <w:szCs w:val="28"/>
          <w:u w:val="single" w:color="auto"/>
          <w:lang w:val="en-US" w:eastAsia="zh-CN"/>
        </w:rPr>
        <w:t xml:space="preserve">  余晓川              </w:t>
      </w:r>
      <w:r>
        <w:rPr>
          <w:rFonts w:hint="eastAsia" w:ascii="仿宋_GB2312" w:hAnsi="仿宋_GB2312" w:eastAsia="仿宋_GB2312" w:cs="Calibri"/>
          <w:b/>
          <w:bCs/>
          <w:color w:val="000000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Calibri"/>
          <w:b/>
          <w:bCs/>
          <w:sz w:val="28"/>
          <w:szCs w:val="28"/>
        </w:rPr>
        <w:t>电</w:t>
      </w:r>
      <w:r>
        <w:rPr>
          <w:rFonts w:hint="eastAsia" w:ascii="仿宋_GB2312" w:hAnsi="仿宋_GB2312" w:eastAsia="仿宋_GB2312" w:cs="Calibri"/>
          <w:b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Calibri"/>
          <w:b/>
          <w:bCs/>
          <w:sz w:val="28"/>
          <w:szCs w:val="28"/>
        </w:rPr>
        <w:t>话：</w:t>
      </w:r>
      <w:r>
        <w:rPr>
          <w:rFonts w:hint="eastAsia" w:ascii="仿宋_GB2312" w:hAnsi="仿宋_GB2312" w:eastAsia="仿宋_GB2312" w:cs="Calibri"/>
          <w:b/>
          <w:bCs/>
          <w:sz w:val="28"/>
          <w:szCs w:val="28"/>
          <w:u w:val="single" w:color="auto"/>
          <w:lang w:val="en-US" w:eastAsia="zh-CN"/>
        </w:rPr>
        <w:t xml:space="preserve"> 13999178269   </w:t>
      </w:r>
      <w:r>
        <w:rPr>
          <w:rFonts w:hint="eastAsia" w:ascii="仿宋_GB2312" w:hAnsi="仿宋_GB2312" w:eastAsia="仿宋_GB2312" w:cs="Calibri"/>
          <w:b/>
          <w:bCs/>
          <w:sz w:val="28"/>
          <w:szCs w:val="28"/>
        </w:rPr>
        <w:t xml:space="preserve">            </w:t>
      </w:r>
    </w:p>
    <w:p w14:paraId="646455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Calibri"/>
          <w:b/>
          <w:bCs/>
          <w:sz w:val="28"/>
          <w:szCs w:val="28"/>
        </w:rPr>
      </w:pPr>
      <w:r>
        <w:rPr>
          <w:rFonts w:hint="eastAsia" w:ascii="仿宋_GB2312" w:hAnsi="仿宋_GB2312" w:eastAsia="仿宋_GB2312" w:cs="Calibri"/>
          <w:b/>
          <w:bCs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Calibri"/>
          <w:b/>
          <w:bCs/>
          <w:sz w:val="28"/>
          <w:szCs w:val="28"/>
        </w:rPr>
        <w:t>地</w:t>
      </w:r>
      <w:r>
        <w:rPr>
          <w:rFonts w:hint="eastAsia" w:ascii="仿宋_GB2312" w:hAnsi="仿宋_GB2312" w:eastAsia="仿宋_GB2312" w:cs="Calibri"/>
          <w:b/>
          <w:bCs/>
          <w:sz w:val="28"/>
          <w:szCs w:val="28"/>
          <w:lang w:val="en-US" w:eastAsia="zh-CN"/>
        </w:rPr>
        <w:t xml:space="preserve">   </w:t>
      </w:r>
      <w:r>
        <w:rPr>
          <w:rFonts w:hint="eastAsia" w:ascii="仿宋_GB2312" w:hAnsi="仿宋_GB2312" w:eastAsia="仿宋_GB2312" w:cs="Calibri"/>
          <w:b/>
          <w:bCs/>
          <w:sz w:val="28"/>
          <w:szCs w:val="28"/>
        </w:rPr>
        <w:t>址：</w:t>
      </w:r>
      <w:r>
        <w:rPr>
          <w:rFonts w:hint="eastAsia" w:ascii="仿宋_GB2312" w:hAnsi="仿宋_GB2312" w:eastAsia="仿宋_GB2312" w:cs="Calibri"/>
          <w:b/>
          <w:bCs/>
          <w:sz w:val="28"/>
          <w:szCs w:val="28"/>
          <w:u w:val="single" w:color="auto"/>
          <w:lang w:val="en-US" w:eastAsia="zh-CN"/>
        </w:rPr>
        <w:t xml:space="preserve"> 新疆巴州库尔勒人民东路通力大厦六楼</w:t>
      </w:r>
      <w:r>
        <w:rPr>
          <w:rFonts w:hint="eastAsia" w:ascii="仿宋_GB2312" w:hAnsi="仿宋_GB2312" w:eastAsia="仿宋_GB2312" w:cs="Calibri"/>
          <w:b/>
          <w:bCs/>
          <w:sz w:val="28"/>
          <w:szCs w:val="28"/>
        </w:rPr>
        <w:t xml:space="preserve">                   </w:t>
      </w:r>
    </w:p>
    <w:p w14:paraId="2667AA26">
      <w:pPr>
        <w:widowControl w:val="0"/>
        <w:spacing w:line="400" w:lineRule="exact"/>
        <w:textAlignment w:val="auto"/>
        <w:rPr>
          <w:rFonts w:hint="eastAsia" w:ascii="仿宋_GB2312" w:hAnsi="仿宋_GB2312" w:eastAsia="仿宋_GB2312" w:cs="Calibri"/>
          <w:b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Calibri"/>
          <w:b/>
          <w:bCs/>
          <w:sz w:val="28"/>
          <w:szCs w:val="28"/>
          <w:lang w:val="en-US" w:eastAsia="zh-CN"/>
        </w:rPr>
        <w:t xml:space="preserve">    </w:t>
      </w:r>
    </w:p>
    <w:p w14:paraId="56FE1F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Calibri"/>
          <w:b/>
          <w:bCs/>
          <w:sz w:val="28"/>
          <w:szCs w:val="28"/>
        </w:rPr>
      </w:pPr>
      <w:r>
        <w:rPr>
          <w:rFonts w:hint="eastAsia" w:ascii="仿宋_GB2312" w:hAnsi="仿宋_GB2312" w:eastAsia="仿宋_GB2312" w:cs="Calibri"/>
          <w:b/>
          <w:bCs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Calibri"/>
          <w:b/>
          <w:bCs/>
          <w:sz w:val="28"/>
          <w:szCs w:val="28"/>
        </w:rPr>
        <w:t>乙</w:t>
      </w:r>
      <w:r>
        <w:rPr>
          <w:rFonts w:hint="eastAsia" w:ascii="仿宋_GB2312" w:hAnsi="仿宋_GB2312" w:eastAsia="仿宋_GB2312" w:cs="Calibri"/>
          <w:b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Calibri"/>
          <w:b/>
          <w:bCs/>
          <w:sz w:val="28"/>
          <w:szCs w:val="28"/>
        </w:rPr>
        <w:t>方：北京盈科(乌鲁木齐)律师事务所</w:t>
      </w:r>
    </w:p>
    <w:p w14:paraId="0E8405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Calibri"/>
          <w:b/>
          <w:bCs/>
          <w:sz w:val="28"/>
          <w:szCs w:val="28"/>
        </w:rPr>
      </w:pPr>
      <w:r>
        <w:rPr>
          <w:rFonts w:hint="eastAsia" w:ascii="仿宋_GB2312" w:hAnsi="仿宋_GB2312" w:eastAsia="仿宋_GB2312" w:cs="Calibri"/>
          <w:b/>
          <w:bCs/>
          <w:sz w:val="28"/>
          <w:szCs w:val="28"/>
          <w:lang w:val="en-US" w:eastAsia="zh-CN"/>
        </w:rPr>
        <w:t xml:space="preserve">    统一社会信用代码：31650000333085081Y</w:t>
      </w:r>
    </w:p>
    <w:p w14:paraId="5A6B60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Calibri"/>
          <w:b/>
          <w:bCs/>
          <w:sz w:val="28"/>
          <w:szCs w:val="28"/>
        </w:rPr>
      </w:pPr>
      <w:r>
        <w:rPr>
          <w:rFonts w:hint="eastAsia" w:ascii="仿宋_GB2312" w:hAnsi="仿宋_GB2312" w:eastAsia="仿宋_GB2312" w:cs="Calibri"/>
          <w:b/>
          <w:bCs/>
          <w:sz w:val="28"/>
          <w:szCs w:val="28"/>
          <w:lang w:val="en-US" w:eastAsia="zh-CN"/>
        </w:rPr>
        <w:t xml:space="preserve">    负责人</w:t>
      </w:r>
      <w:r>
        <w:rPr>
          <w:rFonts w:hint="eastAsia" w:ascii="仿宋_GB2312" w:hAnsi="仿宋_GB2312" w:eastAsia="仿宋_GB2312" w:cs="Calibri"/>
          <w:b/>
          <w:bCs/>
          <w:sz w:val="28"/>
          <w:szCs w:val="28"/>
        </w:rPr>
        <w:t>：</w:t>
      </w:r>
      <w:r>
        <w:rPr>
          <w:rFonts w:hint="eastAsia" w:ascii="仿宋_GB2312" w:hAnsi="仿宋_GB2312" w:eastAsia="仿宋_GB2312" w:cs="Calibri"/>
          <w:b/>
          <w:bCs/>
          <w:sz w:val="28"/>
          <w:szCs w:val="28"/>
          <w:lang w:eastAsia="zh-CN"/>
        </w:rPr>
        <w:t>詹瑜璞</w:t>
      </w:r>
    </w:p>
    <w:p w14:paraId="43FB0B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Calibri"/>
          <w:b/>
          <w:bCs/>
          <w:sz w:val="28"/>
          <w:szCs w:val="28"/>
        </w:rPr>
      </w:pPr>
      <w:r>
        <w:rPr>
          <w:rFonts w:hint="eastAsia" w:ascii="仿宋_GB2312" w:hAnsi="仿宋_GB2312" w:eastAsia="仿宋_GB2312" w:cs="Calibri"/>
          <w:b/>
          <w:bCs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Calibri"/>
          <w:b/>
          <w:bCs/>
          <w:sz w:val="28"/>
          <w:szCs w:val="28"/>
        </w:rPr>
        <w:t>地</w:t>
      </w:r>
      <w:r>
        <w:rPr>
          <w:rFonts w:hint="eastAsia" w:ascii="仿宋_GB2312" w:hAnsi="仿宋_GB2312" w:eastAsia="仿宋_GB2312" w:cs="Calibri"/>
          <w:b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Calibri"/>
          <w:b/>
          <w:bCs/>
          <w:sz w:val="28"/>
          <w:szCs w:val="28"/>
        </w:rPr>
        <w:t>址</w:t>
      </w:r>
      <w:r>
        <w:rPr>
          <w:rFonts w:hint="eastAsia" w:ascii="仿宋_GB2312" w:hAnsi="仿宋_GB2312" w:eastAsia="仿宋_GB2312" w:cs="Calibri"/>
          <w:b/>
          <w:bCs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Calibri"/>
          <w:b/>
          <w:bCs/>
          <w:sz w:val="28"/>
          <w:szCs w:val="28"/>
        </w:rPr>
        <w:t>新疆乌鲁木齐市</w:t>
      </w:r>
      <w:r>
        <w:rPr>
          <w:rFonts w:hint="eastAsia" w:ascii="仿宋_GB2312" w:hAnsi="仿宋_GB2312" w:eastAsia="仿宋_GB2312" w:cs="Calibri"/>
          <w:b/>
          <w:bCs/>
          <w:sz w:val="28"/>
          <w:szCs w:val="28"/>
          <w:lang w:eastAsia="zh-CN"/>
        </w:rPr>
        <w:t>水磨沟区红光山路</w:t>
      </w:r>
      <w:r>
        <w:rPr>
          <w:rFonts w:hint="eastAsia" w:ascii="仿宋_GB2312" w:hAnsi="仿宋_GB2312" w:eastAsia="仿宋_GB2312" w:cs="Calibri"/>
          <w:b/>
          <w:bCs/>
          <w:sz w:val="28"/>
          <w:szCs w:val="28"/>
          <w:lang w:val="en-US" w:eastAsia="zh-CN"/>
        </w:rPr>
        <w:t>2588号绿地商务中心101栋9层</w:t>
      </w:r>
      <w:r>
        <w:rPr>
          <w:rFonts w:hint="eastAsia" w:ascii="仿宋_GB2312" w:hAnsi="仿宋_GB2312" w:eastAsia="仿宋_GB2312" w:cs="Calibri"/>
          <w:b/>
          <w:bCs/>
          <w:sz w:val="28"/>
          <w:szCs w:val="28"/>
        </w:rPr>
        <w:t xml:space="preserve"> </w:t>
      </w:r>
    </w:p>
    <w:p w14:paraId="4B374D91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420" w:lineRule="exact"/>
        <w:ind w:firstLine="562" w:firstLineChars="200"/>
        <w:textAlignment w:val="baseline"/>
        <w:rPr>
          <w:rFonts w:hint="eastAsia" w:ascii="仿宋_GB2312" w:hAnsi="Times New Roman" w:eastAsia="仿宋_GB2312" w:cs="Times New Roman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Calibri"/>
          <w:b/>
          <w:bCs/>
          <w:sz w:val="28"/>
          <w:szCs w:val="28"/>
        </w:rPr>
        <w:t>电</w:t>
      </w:r>
      <w:r>
        <w:rPr>
          <w:rFonts w:hint="eastAsia" w:ascii="仿宋_GB2312" w:hAnsi="仿宋_GB2312" w:eastAsia="仿宋_GB2312" w:cs="Calibri"/>
          <w:b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Calibri"/>
          <w:b/>
          <w:bCs/>
          <w:sz w:val="28"/>
          <w:szCs w:val="28"/>
        </w:rPr>
        <w:t>话：0991-4651099（总机）          传</w:t>
      </w:r>
      <w:r>
        <w:rPr>
          <w:rFonts w:hint="eastAsia" w:ascii="仿宋_GB2312" w:hAnsi="仿宋_GB2312" w:eastAsia="仿宋_GB2312" w:cs="Calibri"/>
          <w:b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Calibri"/>
          <w:b/>
          <w:bCs/>
          <w:sz w:val="28"/>
          <w:szCs w:val="28"/>
        </w:rPr>
        <w:t>真：0991-4686070</w:t>
      </w:r>
      <w:r>
        <w:rPr>
          <w:rFonts w:hint="eastAsia" w:ascii="仿宋_GB2312" w:hAnsi="Times New Roman" w:eastAsia="仿宋_GB2312" w:cs="Times New Roman"/>
          <w:kern w:val="0"/>
          <w:sz w:val="28"/>
          <w:szCs w:val="28"/>
          <w:lang w:val="en-US" w:eastAsia="zh-CN"/>
        </w:rPr>
        <w:t xml:space="preserve"> </w:t>
      </w:r>
    </w:p>
    <w:p w14:paraId="67BB563C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420" w:lineRule="exact"/>
        <w:ind w:firstLine="560" w:firstLineChars="200"/>
        <w:textAlignment w:val="baseline"/>
        <w:rPr>
          <w:rFonts w:hint="eastAsia" w:ascii="仿宋_GB2312" w:hAnsi="Times New Roman" w:eastAsia="仿宋_GB2312" w:cs="Times New Roman"/>
          <w:kern w:val="0"/>
          <w:sz w:val="28"/>
          <w:szCs w:val="28"/>
          <w:lang w:val="en-US" w:eastAsia="zh-CN"/>
        </w:rPr>
      </w:pPr>
    </w:p>
    <w:p w14:paraId="6485AB19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420" w:lineRule="exact"/>
        <w:ind w:firstLine="560" w:firstLineChars="200"/>
        <w:textAlignment w:val="baseline"/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  <w:t>根据《中华人民共和国民法典》《中华人民共和国律师法》等有关法律法规的规定，甲方聘请乙方提供法律服务。甲乙双方经协商一致，订立本合同，以资共同遵守。</w:t>
      </w:r>
    </w:p>
    <w:p w14:paraId="534D5B20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420" w:lineRule="exact"/>
        <w:ind w:firstLine="560" w:firstLineChars="200"/>
        <w:textAlignment w:val="baseline"/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  <w:t>第一条 委托代理事项</w:t>
      </w:r>
    </w:p>
    <w:p w14:paraId="46A4E674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420" w:lineRule="exact"/>
        <w:ind w:firstLine="560" w:firstLineChars="200"/>
        <w:textAlignment w:val="baseline"/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  <w:t>甲方与</w:t>
      </w: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u w:val="single"/>
          <w:lang w:val="en-US" w:eastAsia="zh-CN"/>
        </w:rPr>
        <w:t xml:space="preserve"> 新疆民福房地产开发有限公司  </w:t>
      </w: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u w:val="none"/>
          <w:lang w:val="en-US" w:eastAsia="zh-CN"/>
        </w:rPr>
        <w:t>因</w:t>
      </w: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u w:val="single"/>
          <w:lang w:val="en-US" w:eastAsia="zh-CN"/>
        </w:rPr>
        <w:t>【民间借贷纠纷】</w:t>
      </w: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  <w:t>一案，聘请乙方为其提供法律服务，乙方同意接受甲方的委托，将委派</w:t>
      </w: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u w:val="single"/>
          <w:lang w:val="en-US" w:eastAsia="zh-CN"/>
        </w:rPr>
        <w:t xml:space="preserve">黄志宏 、郑云飞                   </w:t>
      </w: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  <w:t>律师担任甲方的委托代理人，代理本案 【一审】□【二审】□【再审】</w:t>
      </w: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  <w:sym w:font="Wingdings 2" w:char="00A3"/>
      </w: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  <w:t>【 执行查封、续封       】□ 法律程序。</w:t>
      </w:r>
    </w:p>
    <w:p w14:paraId="68A39BFA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420" w:lineRule="exact"/>
        <w:ind w:firstLine="560" w:firstLineChars="200"/>
        <w:textAlignment w:val="baseline"/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  <w:t>第二条 甲方委托乙方代理权限为下列第</w:t>
      </w: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u w:val="single"/>
          <w:lang w:val="en-US" w:eastAsia="zh-CN"/>
        </w:rPr>
        <w:t xml:space="preserve"> 2 </w:t>
      </w: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  <w:t>项：</w:t>
      </w:r>
    </w:p>
    <w:p w14:paraId="3DA25333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420" w:lineRule="exact"/>
        <w:ind w:firstLine="560" w:firstLineChars="200"/>
        <w:textAlignment w:val="baseline"/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  <w:t>1.特别授权：代为承认、放弃、变更诉讼请求，进行调解、和解，提起反诉或上诉，代为签署、领取法律文书。</w:t>
      </w:r>
    </w:p>
    <w:p w14:paraId="096BDC5E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420" w:lineRule="exact"/>
        <w:ind w:firstLine="560" w:firstLineChars="200"/>
        <w:textAlignment w:val="baseline"/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  <w:t>2.一般代理：代为立案、参加诉讼、调解、代为提交或接收法律文件等程序性工作，对甲方实体权利不做处置。</w:t>
      </w:r>
    </w:p>
    <w:p w14:paraId="0ABD8038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420" w:lineRule="exact"/>
        <w:ind w:firstLine="560" w:firstLineChars="200"/>
        <w:textAlignment w:val="baseline"/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  <w:t>3.双方约定的其他事项：</w:t>
      </w: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u w:val="single"/>
          <w:lang w:val="en-US" w:eastAsia="zh-CN"/>
        </w:rPr>
        <w:t xml:space="preserve">                                      </w:t>
      </w: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  <w:t>。</w:t>
      </w:r>
    </w:p>
    <w:p w14:paraId="28075E3D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420" w:lineRule="exact"/>
        <w:ind w:firstLine="560" w:firstLineChars="200"/>
        <w:textAlignment w:val="baseline"/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  <w:t>第三条 联系人</w:t>
      </w:r>
    </w:p>
    <w:p w14:paraId="44447D0F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420" w:lineRule="exact"/>
        <w:ind w:firstLine="560" w:firstLineChars="200"/>
        <w:textAlignment w:val="baseline"/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  <w:t>甲方指定</w:t>
      </w: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  <w:t>为其联系人，授权其负责与乙方联络，提供案件所需的证据材料，转达甲方的意见与要求。甲方更换联系人须及时书面通知乙方。</w:t>
      </w:r>
    </w:p>
    <w:p w14:paraId="68ED6BAE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420" w:lineRule="exact"/>
        <w:ind w:firstLine="560" w:firstLineChars="200"/>
        <w:textAlignment w:val="baseline"/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  <w:t>联系人电话：</w:t>
      </w: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u w:val="single"/>
          <w:lang w:val="en-US" w:eastAsia="zh-CN"/>
        </w:rPr>
        <w:t xml:space="preserve">             </w:t>
      </w: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  <w:t xml:space="preserve"> 微信号：</w:t>
      </w: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u w:val="single"/>
          <w:lang w:val="en-US" w:eastAsia="zh-CN"/>
        </w:rPr>
        <w:t xml:space="preserve">          </w:t>
      </w: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  <w:t xml:space="preserve">邮箱： </w:t>
      </w: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u w:val="single"/>
          <w:lang w:val="en-US" w:eastAsia="zh-CN"/>
        </w:rPr>
        <w:t xml:space="preserve">          </w:t>
      </w:r>
    </w:p>
    <w:p w14:paraId="5C169CA3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420" w:lineRule="exact"/>
        <w:ind w:firstLine="560" w:firstLineChars="200"/>
        <w:textAlignment w:val="baseline"/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  <w:t>送达地址：</w:t>
      </w: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u w:val="single"/>
          <w:lang w:val="en-US" w:eastAsia="zh-CN"/>
        </w:rPr>
        <w:t xml:space="preserve">                                                   </w:t>
      </w: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u w:val="none"/>
          <w:lang w:val="en-US" w:eastAsia="zh-CN"/>
        </w:rPr>
        <w:t>。</w:t>
      </w:r>
    </w:p>
    <w:p w14:paraId="21B74994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420" w:lineRule="exact"/>
        <w:ind w:firstLine="560" w:firstLineChars="200"/>
        <w:textAlignment w:val="baseline"/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  <w:t>第四条 甲方的权利和义务</w:t>
      </w:r>
    </w:p>
    <w:p w14:paraId="1C2063B8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420" w:lineRule="exact"/>
        <w:ind w:firstLine="560" w:firstLineChars="200"/>
        <w:textAlignment w:val="baseline"/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  <w:t>（一）甲方有权知悉案件的进展情况；</w:t>
      </w:r>
    </w:p>
    <w:p w14:paraId="18B17020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420" w:lineRule="exact"/>
        <w:ind w:firstLine="560" w:firstLineChars="200"/>
        <w:textAlignment w:val="baseline"/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  <w:t>（二）甲方应当全面、客观和及时地向乙方陈述与委托事项有关的情况，并提供相关证据材料；</w:t>
      </w:r>
    </w:p>
    <w:p w14:paraId="2B11CFF2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420" w:lineRule="exact"/>
        <w:ind w:firstLine="560" w:firstLineChars="200"/>
        <w:textAlignment w:val="baseline"/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  <w:t>（三）甲方应当按时、足额向乙方支付律师服务费和办案费用。</w:t>
      </w:r>
    </w:p>
    <w:p w14:paraId="1D369ACF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420" w:lineRule="exact"/>
        <w:ind w:firstLine="560" w:firstLineChars="200"/>
        <w:textAlignment w:val="baseline"/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  <w:t>第五条 乙方的权利和义务</w:t>
      </w:r>
    </w:p>
    <w:p w14:paraId="228287BE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420" w:lineRule="exact"/>
        <w:ind w:firstLine="560" w:firstLineChars="200"/>
        <w:textAlignment w:val="baseline"/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  <w:t>（一）乙方律师将严格遵守职业道德和执业纪律，尽职尽责地根据法律、法规的规定完成本合同约定的委托事项，积极地维护委托人的合法权益。</w:t>
      </w:r>
    </w:p>
    <w:p w14:paraId="5F4B984C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420" w:lineRule="exact"/>
        <w:ind w:firstLine="560" w:firstLineChars="200"/>
        <w:textAlignment w:val="baseline"/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  <w:t>（二）乙方对其获知的甲方的商业秘密或个人隐私负有保密义务。</w:t>
      </w:r>
    </w:p>
    <w:p w14:paraId="5414E510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420" w:lineRule="exact"/>
        <w:ind w:firstLine="560" w:firstLineChars="200"/>
        <w:textAlignment w:val="baseline"/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  <w:t>（三）乙方对甲方业务应保存必要的工作记录，对案件证据材料、法律文书和财物须妥善保管。</w:t>
      </w:r>
    </w:p>
    <w:p w14:paraId="3781A518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420" w:lineRule="exact"/>
        <w:ind w:firstLine="560" w:firstLineChars="200"/>
        <w:textAlignment w:val="baseline"/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  <w:t>（四）在案件办理过程中，若甲方通过律师函、组织协商或者在合议庭、法官及律师等组织或个人的主持下和解、达成调解协议等情形，导致本案终止，视为乙方本合同项下的法律服务全部提供完毕。</w:t>
      </w:r>
    </w:p>
    <w:p w14:paraId="08887428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420" w:lineRule="exact"/>
        <w:ind w:firstLine="560" w:firstLineChars="200"/>
        <w:textAlignment w:val="baseline"/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  <w:t>第六条 变更承办人</w:t>
      </w:r>
    </w:p>
    <w:p w14:paraId="02F067D1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420" w:lineRule="exact"/>
        <w:ind w:firstLine="560" w:firstLineChars="200"/>
        <w:textAlignment w:val="baseline"/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  <w:t>若乙方指派的律师因合理原因无法继续履行本合同，乙方应及时通知甲方，并尽快指定本所其他律师履行职责。如甲方对乙方另行指定的律师有异议，应当及时以书面形式向乙方提出。</w:t>
      </w:r>
    </w:p>
    <w:p w14:paraId="1CDA5AFE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420" w:lineRule="exact"/>
        <w:ind w:firstLine="560" w:firstLineChars="200"/>
        <w:textAlignment w:val="baseline"/>
        <w:rPr>
          <w:rFonts w:hint="default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  <w:t>第七条 律师服务费和办案费用</w:t>
      </w:r>
    </w:p>
    <w:p w14:paraId="0DD19726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420" w:lineRule="exact"/>
        <w:ind w:firstLine="560" w:firstLineChars="200"/>
        <w:textAlignment w:val="baseline"/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  <w:t>（一）经双方协商同意，甲方向乙方支付律师服务费</w:t>
      </w: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u w:val="single"/>
          <w:lang w:val="en-US" w:eastAsia="zh-CN"/>
        </w:rPr>
        <w:t>人民币【 叁仟           】元整</w:t>
      </w: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  <w:t>（</w:t>
      </w: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u w:val="single"/>
          <w:lang w:val="en-US" w:eastAsia="zh-CN"/>
        </w:rPr>
        <w:t>￥ 3000        ）</w:t>
      </w: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  <w:t>。律师服务费应于本合同签订之日起3日内付清，乙方在收到款项后及时出具律师服务费发票。</w:t>
      </w:r>
    </w:p>
    <w:p w14:paraId="6B37F5F0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420" w:lineRule="exact"/>
        <w:ind w:firstLine="560" w:firstLineChars="200"/>
        <w:textAlignment w:val="baseline"/>
        <w:rPr>
          <w:rFonts w:hint="default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  <w:t>（二）双方约定的其他收费方式</w:t>
      </w: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  <w:t>。</w:t>
      </w:r>
    </w:p>
    <w:p w14:paraId="53ACC6BB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420" w:lineRule="exact"/>
        <w:ind w:firstLine="560" w:firstLineChars="200"/>
        <w:textAlignment w:val="baseline"/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  <w:t>（三）乙方律师代理本合同项下业务所产生的办案费用，包括但不限于打字复印费、查询费、交通费、差旅费等，实报实销，多退少补，由甲方承担。甲方在本合同签订的同时，甲方先行支付乙方律师办案费用</w:t>
      </w: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u w:val="single"/>
          <w:lang w:val="en-US" w:eastAsia="zh-CN"/>
        </w:rPr>
        <w:t>人民币【          】元整（￥         ）</w:t>
      </w: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  <w:t>，待案件终结后据实结算。</w:t>
      </w:r>
    </w:p>
    <w:p w14:paraId="4E230B86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420" w:lineRule="exact"/>
        <w:ind w:firstLine="560" w:firstLineChars="200"/>
        <w:textAlignment w:val="baseline"/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  <w:t>（四）律师服务费的特殊处理：</w:t>
      </w:r>
    </w:p>
    <w:p w14:paraId="40B4BC6B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420" w:lineRule="exact"/>
        <w:ind w:firstLine="560" w:firstLineChars="200"/>
        <w:textAlignment w:val="baseline"/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  <w:t>1.本合同生效后，甲方决定不起诉或撤诉的，对方当事人决定不起诉或撤诉的，乙方收取的律师服务费不予退还。</w:t>
      </w:r>
    </w:p>
    <w:p w14:paraId="4C49F524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420" w:lineRule="exact"/>
        <w:ind w:firstLine="560" w:firstLineChars="200"/>
        <w:textAlignment w:val="baseline"/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  <w:t>2.甲方不得以人民法院裁定驳回甲方的起诉、上诉、申请再审，或者人民法院裁定驳回对方当事人的起诉、上诉、申请再审等理由，要求乙方退还律师服务费。</w:t>
      </w:r>
    </w:p>
    <w:p w14:paraId="76F5A850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420" w:lineRule="exact"/>
        <w:ind w:firstLine="560" w:firstLineChars="200"/>
        <w:textAlignment w:val="baseline"/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  <w:t>3.其他特殊情形：</w:t>
      </w: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u w:val="none"/>
          <w:lang w:val="en-US" w:eastAsia="zh-CN"/>
        </w:rPr>
        <w:t>。</w:t>
      </w:r>
    </w:p>
    <w:p w14:paraId="52625B4A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420" w:lineRule="exact"/>
        <w:ind w:firstLine="560" w:firstLineChars="200"/>
        <w:textAlignment w:val="baseline"/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  <w:t>甲方选择银联支付的，支付至乙方下述账户：</w:t>
      </w:r>
    </w:p>
    <w:p w14:paraId="5A09B9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 w:val="0"/>
        <w:snapToGrid/>
        <w:spacing w:line="420" w:lineRule="exact"/>
        <w:ind w:firstLine="562" w:firstLineChars="200"/>
        <w:textAlignment w:val="baseline"/>
        <w:rPr>
          <w:rFonts w:hint="eastAsia" w:ascii="仿宋_GB2312" w:hAnsi="Times New Roman" w:eastAsia="仿宋_GB2312" w:cs="Times New Roman"/>
          <w:b/>
          <w:bCs/>
          <w:kern w:val="0"/>
          <w:sz w:val="28"/>
          <w:szCs w:val="28"/>
        </w:rPr>
      </w:pPr>
      <w:r>
        <w:rPr>
          <w:rFonts w:hint="eastAsia" w:ascii="仿宋_GB2312" w:hAnsi="Times New Roman" w:eastAsia="仿宋_GB2312" w:cs="Times New Roman"/>
          <w:b/>
          <w:bCs/>
          <w:kern w:val="0"/>
          <w:sz w:val="28"/>
          <w:szCs w:val="28"/>
        </w:rPr>
        <w:t xml:space="preserve">乙方单位名称：北京盈科（乌鲁木齐）律师事务所   </w:t>
      </w:r>
    </w:p>
    <w:p w14:paraId="39D579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 w:val="0"/>
        <w:snapToGrid/>
        <w:spacing w:line="420" w:lineRule="exact"/>
        <w:ind w:firstLine="562" w:firstLineChars="200"/>
        <w:textAlignment w:val="baseline"/>
        <w:rPr>
          <w:rFonts w:hint="eastAsia" w:ascii="仿宋_GB2312" w:hAnsi="Times New Roman" w:eastAsia="仿宋_GB2312" w:cs="Times New Roman"/>
          <w:b/>
          <w:bCs/>
          <w:kern w:val="0"/>
          <w:sz w:val="28"/>
          <w:szCs w:val="28"/>
        </w:rPr>
      </w:pPr>
      <w:r>
        <w:rPr>
          <w:rFonts w:hint="eastAsia" w:ascii="仿宋_GB2312" w:hAnsi="Times New Roman" w:eastAsia="仿宋_GB2312" w:cs="Times New Roman"/>
          <w:b/>
          <w:bCs/>
          <w:kern w:val="0"/>
          <w:sz w:val="28"/>
          <w:szCs w:val="28"/>
        </w:rPr>
        <w:t>开   户   行：中国银行股份有限公司乌鲁木齐市安居南路支行</w:t>
      </w:r>
    </w:p>
    <w:p w14:paraId="395CDAA3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420" w:lineRule="exact"/>
        <w:ind w:firstLine="562" w:firstLineChars="200"/>
        <w:textAlignment w:val="baseline"/>
        <w:rPr>
          <w:rFonts w:hint="eastAsia" w:ascii="仿宋_GB2312" w:hAnsi="Times New Roman" w:eastAsia="仿宋_GB2312" w:cs="Times New Roman"/>
          <w:b/>
          <w:bCs/>
          <w:kern w:val="0"/>
          <w:sz w:val="28"/>
          <w:szCs w:val="28"/>
        </w:rPr>
      </w:pPr>
      <w:r>
        <w:rPr>
          <w:rFonts w:hint="eastAsia" w:ascii="仿宋_GB2312" w:hAnsi="Times New Roman" w:eastAsia="仿宋_GB2312" w:cs="Times New Roman"/>
          <w:b/>
          <w:bCs/>
          <w:kern w:val="0"/>
          <w:sz w:val="28"/>
          <w:szCs w:val="28"/>
          <w:lang w:val="en-US" w:eastAsia="zh-CN"/>
        </w:rPr>
        <w:t>账        户</w:t>
      </w:r>
      <w:r>
        <w:rPr>
          <w:rFonts w:hint="eastAsia" w:ascii="仿宋_GB2312" w:hAnsi="Times New Roman" w:eastAsia="仿宋_GB2312" w:cs="Times New Roman"/>
          <w:b/>
          <w:bCs/>
          <w:kern w:val="0"/>
          <w:sz w:val="28"/>
          <w:szCs w:val="28"/>
        </w:rPr>
        <w:t xml:space="preserve">：107655590028   </w:t>
      </w:r>
      <w:r>
        <w:rPr>
          <w:rFonts w:hint="eastAsia" w:ascii="仿宋_GB2312" w:hAnsi="Times New Roman" w:eastAsia="仿宋_GB2312" w:cs="Times New Roman"/>
          <w:b/>
          <w:bCs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Times New Roman" w:eastAsia="仿宋_GB2312" w:cs="Times New Roman"/>
          <w:b/>
          <w:bCs/>
          <w:kern w:val="0"/>
          <w:sz w:val="28"/>
          <w:szCs w:val="28"/>
        </w:rPr>
        <w:t xml:space="preserve"> 行</w:t>
      </w:r>
      <w:r>
        <w:rPr>
          <w:rFonts w:hint="eastAsia" w:ascii="仿宋_GB2312" w:hAnsi="Times New Roman" w:eastAsia="仿宋_GB2312" w:cs="Times New Roman"/>
          <w:b/>
          <w:bCs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仿宋_GB2312" w:hAnsi="Times New Roman" w:eastAsia="仿宋_GB2312" w:cs="Times New Roman"/>
          <w:b/>
          <w:bCs/>
          <w:kern w:val="0"/>
          <w:sz w:val="28"/>
          <w:szCs w:val="28"/>
        </w:rPr>
        <w:t>号：104881005046</w:t>
      </w:r>
    </w:p>
    <w:p w14:paraId="54A70C49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420" w:lineRule="exact"/>
        <w:ind w:firstLine="560" w:firstLineChars="200"/>
        <w:textAlignment w:val="baseline"/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  <w:t>第八条 违约责任</w:t>
      </w:r>
    </w:p>
    <w:p w14:paraId="0DFE1680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420" w:lineRule="exact"/>
        <w:ind w:firstLine="560" w:firstLineChars="200"/>
        <w:textAlignment w:val="baseline"/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  <w:t>（一）本合同生效后，若甲方未于约定时间足额支付律师服务费，乙方有权中止工作或单方解除合同，乙方已收取的费用不予退还。</w:t>
      </w:r>
    </w:p>
    <w:p w14:paraId="442482F8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420" w:lineRule="exact"/>
        <w:ind w:firstLine="560" w:firstLineChars="200"/>
        <w:textAlignment w:val="baseline"/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  <w:t>（二）甲方无正当理由不支付律师服务费或者单方解除合同，乙方有权要求甲方支付未付的律师服务费，甲方并承担全部律师服务费30%的违约金。</w:t>
      </w:r>
    </w:p>
    <w:p w14:paraId="2B4C0AF8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420" w:lineRule="exact"/>
        <w:ind w:firstLine="560" w:firstLineChars="200"/>
        <w:textAlignment w:val="baseline"/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  <w:t>（三）乙方无正当理由解除合同，应将已收取的律师服务费退还甲方。</w:t>
      </w:r>
    </w:p>
    <w:p w14:paraId="53117751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420" w:lineRule="exact"/>
        <w:ind w:firstLine="560" w:firstLineChars="200"/>
        <w:textAlignment w:val="baseline"/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  <w:t>（四）其他情形：</w:t>
      </w: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u w:val="single"/>
          <w:lang w:val="en-US" w:eastAsia="zh-CN"/>
        </w:rPr>
        <w:t xml:space="preserve">                                     </w:t>
      </w: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u w:val="none"/>
          <w:lang w:val="en-US" w:eastAsia="zh-CN"/>
        </w:rPr>
        <w:t>。</w:t>
      </w:r>
    </w:p>
    <w:p w14:paraId="13E690EE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420" w:lineRule="exact"/>
        <w:ind w:firstLine="560" w:firstLineChars="200"/>
        <w:textAlignment w:val="baseline"/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  <w:t>第九条 根据《律师执业行为规范》等规定，乙方承办律师不对案件结果作任何承诺。</w:t>
      </w:r>
    </w:p>
    <w:p w14:paraId="5191A1A2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420" w:lineRule="exact"/>
        <w:ind w:firstLine="562" w:firstLineChars="200"/>
        <w:textAlignment w:val="baseline"/>
        <w:rPr>
          <w:rFonts w:hint="eastAsia" w:ascii="仿宋_GB2312" w:hAnsi="Times New Roman" w:eastAsia="仿宋_GB2312" w:cs="Times New Roman"/>
          <w:b/>
          <w:bCs/>
          <w:kern w:val="0"/>
          <w:sz w:val="28"/>
          <w:szCs w:val="28"/>
          <w:lang w:val="en-US" w:eastAsia="zh-CN"/>
        </w:rPr>
      </w:pPr>
      <w:r>
        <w:rPr>
          <w:rFonts w:hint="eastAsia" w:ascii="仿宋_GB2312" w:hAnsi="Times New Roman" w:eastAsia="仿宋_GB2312" w:cs="Times New Roman"/>
          <w:b/>
          <w:bCs/>
          <w:kern w:val="0"/>
          <w:sz w:val="28"/>
          <w:szCs w:val="28"/>
          <w:lang w:val="en-US" w:eastAsia="zh-CN"/>
        </w:rPr>
        <w:t>第十条 特别约定条款</w:t>
      </w:r>
    </w:p>
    <w:p w14:paraId="790762BE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420" w:lineRule="exact"/>
        <w:ind w:firstLine="560" w:firstLineChars="200"/>
        <w:textAlignment w:val="baseline"/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  <w:t>（一）甲方应当真实、完整和及时地向乙方律师陈述案情，提供与委托代理事项有关的全部证据、文件及其它事实材料，并对证据材料的真实性、合法性负责，若因甲方虚假陈述、隐瞒事实、提供伪证或不在举证期限内提供证据造成甲方损失的，乙方不承担责任；如因此给乙方造成损失的，应由甲方承担。</w:t>
      </w:r>
    </w:p>
    <w:p w14:paraId="061E9EC7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420" w:lineRule="exact"/>
        <w:ind w:firstLine="560" w:firstLineChars="200"/>
        <w:textAlignment w:val="baseline"/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  <w:t>（二）甲方委托事项所需证据材料，乙方只留存复印件，证据原件或原物由甲方自行保管。第三方如需使用该证据材料，由甲方或其联系人亲自向其提供。</w:t>
      </w:r>
    </w:p>
    <w:p w14:paraId="1BADB3A8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420" w:lineRule="exact"/>
        <w:ind w:firstLine="560" w:firstLineChars="200"/>
        <w:textAlignment w:val="baseline"/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  <w:t>（三）甲方坚持不正当甚至违法的要求，乙方可单方终止本合同。甲方已支付的代理费不予退还。</w:t>
      </w:r>
    </w:p>
    <w:p w14:paraId="226424E8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420" w:lineRule="exact"/>
        <w:ind w:firstLine="560" w:firstLineChars="200"/>
        <w:textAlignment w:val="baseline"/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  <w:t>（四）如因甲方的原因造成未能及时反诉、上诉、申诉、执行、财产保全而产生的法律后果和损失，与乙方无关。</w:t>
      </w:r>
    </w:p>
    <w:p w14:paraId="76620215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420" w:lineRule="exact"/>
        <w:ind w:firstLine="560" w:firstLineChars="200"/>
        <w:textAlignment w:val="baseline"/>
        <w:rPr>
          <w:rFonts w:hint="eastAsia" w:ascii="仿宋_GB2312" w:hAnsi="Times New Roman" w:eastAsia="仿宋_GB2312" w:cs="Times New Roman"/>
          <w:b w:val="0"/>
          <w:bCs w:val="0"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color w:val="auto"/>
          <w:kern w:val="0"/>
          <w:sz w:val="28"/>
          <w:szCs w:val="28"/>
          <w:lang w:val="en-US" w:eastAsia="zh-CN"/>
        </w:rPr>
        <w:t>（五）因甲方追加委托事项或增加诉讼当事人，或当事人一方提出反诉、增加诉讼请求等重大诉讼事件变更导致代理事项明显增多的，乙方有权要求增加律师服务费，甲方应当合理地追加律师服务费；增加律师服务费协商未成的，乙方有权在原委托范围内进行工作。</w:t>
      </w:r>
    </w:p>
    <w:p w14:paraId="5947C37A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420" w:lineRule="exact"/>
        <w:ind w:firstLine="560" w:firstLineChars="200"/>
        <w:textAlignment w:val="baseline"/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  <w:t>（六）利益冲突豁免条款：“甲方充分知晓北京市盈科律师事务所是一大型律师事务所，有北京总部及各分所，乙方为盈科律师事务所之一。甲方在此确认：理解并认可盈科其他律所及其他律师（包括分所及分所律师）可以接受甲方对方当事人其他事项的委托（对方当事人若有其他事项需委托盈科代理的，该事项须是与本委托事项无关的、独立于本代理合同委托事项之外的事项）。”</w:t>
      </w: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  <w:br w:type="textWrapping"/>
      </w: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  <w:t xml:space="preserve">    （七）其他情形：</w:t>
      </w: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u w:val="single"/>
          <w:lang w:val="en-US" w:eastAsia="zh-CN"/>
        </w:rPr>
        <w:t xml:space="preserve">                                        </w:t>
      </w: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  <w:t>。</w:t>
      </w:r>
    </w:p>
    <w:p w14:paraId="1659908A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 w:val="0"/>
        <w:snapToGrid/>
        <w:spacing w:line="420" w:lineRule="exact"/>
        <w:ind w:firstLine="560" w:firstLineChars="200"/>
        <w:jc w:val="left"/>
        <w:textAlignment w:val="baseline"/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  <w:t>第十一条 其他约定：</w:t>
      </w: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u w:val="single"/>
          <w:lang w:val="en-US" w:eastAsia="zh-CN"/>
        </w:rPr>
        <w:t xml:space="preserve">                                                    </w:t>
      </w:r>
    </w:p>
    <w:p w14:paraId="3A92652E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 w:val="0"/>
        <w:snapToGrid/>
        <w:spacing w:line="420" w:lineRule="exact"/>
        <w:jc w:val="left"/>
        <w:textAlignment w:val="baseline"/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u w:val="single"/>
          <w:lang w:val="en-US" w:eastAsia="zh-CN"/>
        </w:rPr>
        <w:t xml:space="preserve">                                                                           </w:t>
      </w:r>
    </w:p>
    <w:p w14:paraId="32E20AB4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 w:val="0"/>
        <w:snapToGrid/>
        <w:spacing w:line="420" w:lineRule="exact"/>
        <w:jc w:val="left"/>
        <w:textAlignment w:val="baseline"/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u w:val="single"/>
          <w:lang w:val="en-US" w:eastAsia="zh-CN"/>
        </w:rPr>
        <w:t xml:space="preserve">                                                                          </w:t>
      </w: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u w:val="none"/>
          <w:lang w:val="en-US" w:eastAsia="zh-CN"/>
        </w:rPr>
        <w:t>。</w:t>
      </w: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  <w:br w:type="textWrapping"/>
      </w: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  <w:t xml:space="preserve">    第十二条 在签署之前，甲、乙双方已对本合同进行了充分、详细的研究，甲方对本合同的所有异议均在签署之前与乙方平等协商，并取得一致共识。甲方在本合同签署之前已经全部阅读并知悉合同内容及其法律后果，本合同系双方自愿协商一致达成。</w:t>
      </w:r>
    </w:p>
    <w:p w14:paraId="54A2DD83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420" w:lineRule="exact"/>
        <w:ind w:firstLine="560" w:firstLineChars="200"/>
        <w:textAlignment w:val="baseline"/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  <w:t>第十三条 合同履行过程中发生争议的，应由双方友好协商解决。若协商不成，任何一方均有权将争议提交乙方所在地人民法院。</w:t>
      </w:r>
    </w:p>
    <w:p w14:paraId="63D7D0B6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420" w:lineRule="exact"/>
        <w:ind w:firstLine="560" w:firstLineChars="200"/>
        <w:textAlignment w:val="baseline"/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  <w:t>第十四条 本合同一式肆份，甲方执壹份，乙方及乙方律师、法院等各执壹份。本合同自甲、乙双方签字或盖章之日起生效，自乙方律师完成本合同约定的法律服务或双方解除本合同时终止。</w:t>
      </w:r>
    </w:p>
    <w:p w14:paraId="57DB93B6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420" w:lineRule="exact"/>
        <w:ind w:firstLine="560" w:firstLineChars="200"/>
        <w:textAlignment w:val="baseline"/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</w:pPr>
    </w:p>
    <w:p w14:paraId="2C66B288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420" w:lineRule="exact"/>
        <w:ind w:firstLine="560" w:firstLineChars="200"/>
        <w:textAlignment w:val="baseline"/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  <w:t>附：签署诉讼、仲裁委托合同告知书一份</w:t>
      </w:r>
    </w:p>
    <w:p w14:paraId="3538E15A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420" w:lineRule="exact"/>
        <w:ind w:firstLine="560" w:firstLineChars="200"/>
        <w:textAlignment w:val="baseline"/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</w:pPr>
    </w:p>
    <w:p w14:paraId="5C672D5E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420" w:lineRule="exact"/>
        <w:ind w:firstLine="560" w:firstLineChars="200"/>
        <w:textAlignment w:val="baseline"/>
        <w:rPr>
          <w:rFonts w:hint="default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  <w:t>（以下无正文）</w:t>
      </w:r>
    </w:p>
    <w:p w14:paraId="15C45673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420" w:lineRule="exact"/>
        <w:textAlignment w:val="baseline"/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</w:pPr>
    </w:p>
    <w:p w14:paraId="0B57CC96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420" w:lineRule="exact"/>
        <w:ind w:left="7839" w:leftChars="266" w:hanging="7280" w:hangingChars="2600"/>
        <w:textAlignment w:val="baseline"/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  <w:t>甲方：新疆宝发农资集团有限公司 乙方：北京盈科（乌鲁木齐）律师事务所</w:t>
      </w:r>
    </w:p>
    <w:p w14:paraId="6A3BD0BB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420" w:lineRule="exact"/>
        <w:ind w:firstLine="4760" w:firstLineChars="1700"/>
        <w:textAlignment w:val="baseline"/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</w:pPr>
    </w:p>
    <w:p w14:paraId="5D27B490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420" w:lineRule="exact"/>
        <w:ind w:firstLine="4760" w:firstLineChars="1700"/>
        <w:textAlignment w:val="baseline"/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  <w:t>承办律师：</w:t>
      </w:r>
    </w:p>
    <w:p w14:paraId="3C4461FC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420" w:lineRule="exact"/>
        <w:ind w:firstLine="840" w:firstLineChars="300"/>
        <w:textAlignment w:val="baseline"/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</w:pPr>
    </w:p>
    <w:p w14:paraId="1DDAF0CD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420" w:lineRule="exact"/>
        <w:ind w:firstLine="280" w:firstLineChars="100"/>
        <w:textAlignment w:val="baseline"/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  <w:t xml:space="preserve">  签约时间：     年  月  日     签约时间：     年   月   日 </w:t>
      </w:r>
    </w:p>
    <w:p w14:paraId="5C9CFD4D">
      <w:pPr>
        <w:spacing w:before="156" w:beforeLines="50" w:after="156" w:afterLines="50"/>
        <w:jc w:val="both"/>
        <w:rPr>
          <w:rFonts w:hint="eastAsia" w:ascii="仿宋_GB2312" w:hAnsi="华文仿宋" w:eastAsia="仿宋_GB2312"/>
          <w:b/>
          <w:bCs/>
          <w:sz w:val="44"/>
        </w:rPr>
      </w:pPr>
    </w:p>
    <w:p w14:paraId="6C76688C">
      <w:pPr>
        <w:spacing w:before="156" w:beforeLines="50" w:after="156" w:afterLines="50"/>
        <w:jc w:val="both"/>
        <w:rPr>
          <w:rFonts w:hint="eastAsia" w:ascii="仿宋_GB2312" w:hAnsi="华文仿宋" w:eastAsia="仿宋_GB2312"/>
          <w:b/>
          <w:bCs/>
          <w:sz w:val="44"/>
        </w:rPr>
      </w:pPr>
    </w:p>
    <w:p w14:paraId="75C05169">
      <w:pPr>
        <w:spacing w:before="156" w:beforeLines="50" w:after="156" w:afterLines="50"/>
        <w:jc w:val="center"/>
        <w:rPr>
          <w:rFonts w:hint="eastAsia" w:ascii="仿宋_GB2312" w:eastAsia="仿宋_GB2312"/>
          <w:b/>
          <w:bCs/>
          <w:sz w:val="44"/>
        </w:rPr>
      </w:pPr>
      <w:r>
        <w:rPr>
          <w:rFonts w:hint="eastAsia" w:ascii="仿宋_GB2312" w:hAnsi="华文仿宋" w:eastAsia="仿宋_GB2312"/>
          <w:b/>
          <w:bCs/>
          <w:sz w:val="44"/>
        </w:rPr>
        <w:t>签署诉讼、仲裁委托合同告知书</w:t>
      </w:r>
    </w:p>
    <w:p w14:paraId="047A85FC">
      <w:pPr>
        <w:spacing w:line="480" w:lineRule="exact"/>
        <w:rPr>
          <w:rFonts w:hint="eastAsia" w:ascii="仿宋_GB2312" w:eastAsia="仿宋_GB2312"/>
          <w:b/>
          <w:sz w:val="28"/>
        </w:rPr>
      </w:pPr>
      <w:r>
        <w:rPr>
          <w:rFonts w:hint="eastAsia" w:ascii="仿宋_GB2312" w:hAnsi="华文仿宋" w:eastAsia="仿宋_GB2312"/>
          <w:b/>
          <w:sz w:val="28"/>
        </w:rPr>
        <w:t>敬告委托人：</w:t>
      </w:r>
    </w:p>
    <w:p w14:paraId="41592C4E">
      <w:pPr>
        <w:spacing w:line="480" w:lineRule="exact"/>
        <w:ind w:firstLine="560" w:firstLineChars="200"/>
        <w:rPr>
          <w:rFonts w:hint="eastAsia" w:ascii="仿宋_GB2312" w:eastAsia="仿宋_GB2312"/>
          <w:sz w:val="28"/>
        </w:rPr>
      </w:pPr>
      <w:r>
        <w:rPr>
          <w:rFonts w:hint="eastAsia" w:ascii="仿宋_GB2312" w:hAnsi="华文仿宋" w:eastAsia="仿宋_GB2312"/>
          <w:sz w:val="28"/>
          <w:lang w:eastAsia="zh-CN"/>
        </w:rPr>
        <w:t>乌鲁木齐市</w:t>
      </w:r>
      <w:r>
        <w:rPr>
          <w:rFonts w:hint="eastAsia" w:ascii="仿宋_GB2312" w:hAnsi="华文仿宋" w:eastAsia="仿宋_GB2312"/>
          <w:sz w:val="28"/>
        </w:rPr>
        <w:t>律师协会要求律师事务所与委托人签署诉讼、仲裁委托合同前，承办案件律师应告知委托人如下事项：</w:t>
      </w:r>
    </w:p>
    <w:p w14:paraId="437B5678">
      <w:pPr>
        <w:spacing w:line="480" w:lineRule="exact"/>
        <w:ind w:firstLine="560" w:firstLineChars="200"/>
        <w:rPr>
          <w:rFonts w:hint="eastAsia" w:ascii="仿宋_GB2312" w:eastAsia="仿宋_GB2312"/>
          <w:sz w:val="28"/>
        </w:rPr>
      </w:pPr>
      <w:r>
        <w:rPr>
          <w:rFonts w:hint="eastAsia" w:ascii="仿宋_GB2312" w:hAnsi="华文仿宋" w:eastAsia="仿宋_GB2312"/>
          <w:sz w:val="28"/>
        </w:rPr>
        <w:t>一、贵方委托的案件具有法律风险，贵方的请求</w:t>
      </w:r>
      <w:r>
        <w:rPr>
          <w:rFonts w:hint="eastAsia" w:ascii="仿宋_GB2312" w:eastAsia="仿宋_GB2312"/>
          <w:sz w:val="28"/>
        </w:rPr>
        <w:t>/</w:t>
      </w:r>
      <w:r>
        <w:rPr>
          <w:rFonts w:hint="eastAsia" w:ascii="仿宋_GB2312" w:hAnsi="华文仿宋" w:eastAsia="仿宋_GB2312"/>
          <w:sz w:val="28"/>
        </w:rPr>
        <w:t>申请</w:t>
      </w:r>
      <w:r>
        <w:rPr>
          <w:rFonts w:hint="eastAsia" w:ascii="仿宋_GB2312" w:eastAsia="仿宋_GB2312"/>
          <w:sz w:val="28"/>
        </w:rPr>
        <w:t>/</w:t>
      </w:r>
      <w:r>
        <w:rPr>
          <w:rFonts w:hint="eastAsia" w:ascii="仿宋_GB2312" w:hAnsi="华文仿宋" w:eastAsia="仿宋_GB2312"/>
          <w:sz w:val="28"/>
        </w:rPr>
        <w:t>答辩</w:t>
      </w:r>
      <w:r>
        <w:rPr>
          <w:rFonts w:hint="eastAsia" w:ascii="仿宋_GB2312" w:eastAsia="仿宋_GB2312"/>
          <w:sz w:val="28"/>
        </w:rPr>
        <w:t>/</w:t>
      </w:r>
      <w:r>
        <w:rPr>
          <w:rFonts w:hint="eastAsia" w:ascii="仿宋_GB2312" w:hAnsi="华文仿宋" w:eastAsia="仿宋_GB2312"/>
          <w:sz w:val="28"/>
        </w:rPr>
        <w:t>辩护，部分或全部有被驳的可能；</w:t>
      </w:r>
    </w:p>
    <w:p w14:paraId="31FE5E4A">
      <w:pPr>
        <w:spacing w:line="480" w:lineRule="exact"/>
        <w:ind w:firstLine="560" w:firstLineChars="200"/>
        <w:rPr>
          <w:rFonts w:hint="eastAsia" w:ascii="仿宋_GB2312" w:eastAsia="仿宋_GB2312"/>
          <w:sz w:val="28"/>
        </w:rPr>
      </w:pPr>
      <w:r>
        <w:rPr>
          <w:rFonts w:hint="eastAsia" w:ascii="仿宋_GB2312" w:hAnsi="华文仿宋" w:eastAsia="仿宋_GB2312"/>
          <w:sz w:val="28"/>
        </w:rPr>
        <w:t>二、由于客观原因（如涉及案件的新证据资料的出现等），或由于贵方主张的证据</w:t>
      </w:r>
      <w:r>
        <w:rPr>
          <w:rFonts w:hint="eastAsia" w:ascii="仿宋_GB2312" w:eastAsia="仿宋_GB2312"/>
          <w:sz w:val="28"/>
        </w:rPr>
        <w:t>/</w:t>
      </w:r>
      <w:r>
        <w:rPr>
          <w:rFonts w:hint="eastAsia" w:ascii="仿宋_GB2312" w:hAnsi="华文仿宋" w:eastAsia="仿宋_GB2312"/>
          <w:sz w:val="28"/>
        </w:rPr>
        <w:t>理由不足，亦可能导致贵方败诉或不被采纳；</w:t>
      </w:r>
    </w:p>
    <w:p w14:paraId="2296A531">
      <w:pPr>
        <w:spacing w:line="480" w:lineRule="exact"/>
        <w:ind w:firstLine="560" w:firstLineChars="200"/>
        <w:rPr>
          <w:rFonts w:hint="eastAsia" w:ascii="仿宋_GB2312" w:eastAsia="仿宋_GB2312"/>
          <w:sz w:val="28"/>
        </w:rPr>
      </w:pPr>
      <w:r>
        <w:rPr>
          <w:rFonts w:hint="eastAsia" w:ascii="仿宋_GB2312" w:hAnsi="华文仿宋" w:eastAsia="仿宋_GB2312"/>
          <w:sz w:val="28"/>
        </w:rPr>
        <w:t>三、律师办案进程受到侦查、检察、审判、仲裁等部门及有关当事方的制约；</w:t>
      </w:r>
    </w:p>
    <w:p w14:paraId="255F11D1">
      <w:pPr>
        <w:spacing w:line="480" w:lineRule="exact"/>
        <w:ind w:firstLine="560" w:firstLineChars="200"/>
        <w:rPr>
          <w:rFonts w:hint="eastAsia" w:ascii="仿宋_GB2312" w:eastAsia="仿宋_GB2312"/>
          <w:sz w:val="28"/>
        </w:rPr>
      </w:pPr>
      <w:r>
        <w:rPr>
          <w:rFonts w:hint="eastAsia" w:ascii="仿宋_GB2312" w:hAnsi="华文仿宋" w:eastAsia="仿宋_GB2312"/>
          <w:sz w:val="28"/>
        </w:rPr>
        <w:t>四、承办案件律师不得以与经办案件的法官、仲裁员、检察官、侦查人员或他们的上级领导相熟为理由或为前提承接贵方案件，亦不得以保证贵方案件必然胜诉或无罪为前提承接贵方的案件；</w:t>
      </w:r>
    </w:p>
    <w:p w14:paraId="67E9380C">
      <w:pPr>
        <w:spacing w:line="480" w:lineRule="exact"/>
        <w:ind w:firstLine="560" w:firstLineChars="200"/>
        <w:rPr>
          <w:rFonts w:hint="eastAsia" w:ascii="仿宋_GB2312" w:eastAsia="仿宋_GB2312"/>
          <w:sz w:val="28"/>
        </w:rPr>
      </w:pPr>
      <w:r>
        <w:rPr>
          <w:rFonts w:hint="eastAsia" w:ascii="仿宋_GB2312" w:hAnsi="华文仿宋" w:eastAsia="仿宋_GB2312"/>
          <w:sz w:val="28"/>
        </w:rPr>
        <w:t>五、贵方支付的律师</w:t>
      </w:r>
      <w:r>
        <w:rPr>
          <w:rFonts w:hint="eastAsia" w:ascii="仿宋_GB2312" w:hAnsi="华文仿宋" w:eastAsia="仿宋_GB2312"/>
          <w:sz w:val="28"/>
          <w:lang w:val="en-US" w:eastAsia="zh-CN"/>
        </w:rPr>
        <w:t>服务</w:t>
      </w:r>
      <w:r>
        <w:rPr>
          <w:rFonts w:hint="eastAsia" w:ascii="仿宋_GB2312" w:hAnsi="华文仿宋" w:eastAsia="仿宋_GB2312"/>
          <w:sz w:val="28"/>
        </w:rPr>
        <w:t>费应支付给律师事务所并由律师事务所开具正式发票；</w:t>
      </w:r>
    </w:p>
    <w:p w14:paraId="2D1E5864">
      <w:pPr>
        <w:spacing w:line="480" w:lineRule="exact"/>
        <w:ind w:firstLine="560" w:firstLineChars="200"/>
        <w:rPr>
          <w:rFonts w:hint="eastAsia" w:ascii="仿宋_GB2312" w:eastAsia="仿宋_GB2312"/>
          <w:sz w:val="28"/>
        </w:rPr>
      </w:pPr>
      <w:r>
        <w:rPr>
          <w:rFonts w:hint="eastAsia" w:ascii="仿宋_GB2312" w:hAnsi="华文仿宋" w:eastAsia="仿宋_GB2312"/>
          <w:sz w:val="28"/>
        </w:rPr>
        <w:t>六、除合同约定的费用外，承办案件律师不得以与经办法官、仲裁员、检察官、侦查人员或他们的上级领导沟通为由另行收取贵方费用，贵方亦不得另行给付承办案件律师</w:t>
      </w:r>
      <w:r>
        <w:rPr>
          <w:rFonts w:hint="eastAsia" w:ascii="仿宋_GB2312" w:hAnsi="华文仿宋" w:eastAsia="仿宋_GB2312"/>
          <w:sz w:val="28"/>
          <w:lang w:val="en-US" w:eastAsia="zh-CN"/>
        </w:rPr>
        <w:t>服务</w:t>
      </w:r>
      <w:r>
        <w:rPr>
          <w:rFonts w:hint="eastAsia" w:ascii="仿宋_GB2312" w:hAnsi="华文仿宋" w:eastAsia="仿宋_GB2312"/>
          <w:sz w:val="28"/>
        </w:rPr>
        <w:t>费用要求律师通过非正常途径与经办法官、仲裁员、检察官、侦查人员或他们的上级领导沟通。</w:t>
      </w:r>
    </w:p>
    <w:p w14:paraId="69D3AA73">
      <w:pPr>
        <w:spacing w:line="480" w:lineRule="exact"/>
        <w:ind w:firstLine="560" w:firstLineChars="200"/>
        <w:rPr>
          <w:rFonts w:hint="eastAsia" w:ascii="仿宋_GB2312" w:eastAsia="仿宋_GB2312"/>
          <w:sz w:val="28"/>
        </w:rPr>
      </w:pPr>
      <w:r>
        <w:rPr>
          <w:rFonts w:hint="eastAsia" w:ascii="仿宋_GB2312" w:hAnsi="华文仿宋" w:eastAsia="仿宋_GB2312"/>
          <w:sz w:val="28"/>
        </w:rPr>
        <w:t>请贵方在确定律师已告知上述事宜后才签署诉讼、仲裁委托合同。</w:t>
      </w:r>
    </w:p>
    <w:p w14:paraId="1B0C7430">
      <w:pPr>
        <w:spacing w:before="156" w:beforeLines="50" w:after="156" w:afterLines="50" w:line="480" w:lineRule="exact"/>
        <w:ind w:firstLine="562" w:firstLineChars="200"/>
        <w:rPr>
          <w:rFonts w:hint="eastAsia" w:ascii="仿宋_GB2312" w:eastAsia="仿宋_GB2312"/>
          <w:b/>
          <w:bCs/>
          <w:sz w:val="28"/>
        </w:rPr>
      </w:pPr>
      <w:r>
        <w:rPr>
          <w:rFonts w:hint="eastAsia" w:ascii="仿宋_GB2312" w:hAnsi="华文仿宋" w:eastAsia="仿宋_GB2312"/>
          <w:b/>
          <w:bCs/>
          <w:sz w:val="28"/>
        </w:rPr>
        <w:t>委托人确认：</w:t>
      </w:r>
    </w:p>
    <w:p w14:paraId="606671BA">
      <w:pPr>
        <w:spacing w:line="480" w:lineRule="exact"/>
        <w:ind w:firstLine="560" w:firstLineChars="200"/>
        <w:rPr>
          <w:rFonts w:hint="eastAsia" w:ascii="仿宋_GB2312" w:hAnsi="华文仿宋" w:eastAsia="仿宋_GB2312"/>
          <w:sz w:val="28"/>
        </w:rPr>
      </w:pPr>
      <w:r>
        <w:rPr>
          <w:rFonts w:hint="eastAsia" w:ascii="仿宋_GB2312" w:hAnsi="华文仿宋" w:eastAsia="仿宋_GB2312"/>
          <w:sz w:val="28"/>
        </w:rPr>
        <w:t>律师已告知我方上述事项，我方已了解告知书中所提示的内容。</w:t>
      </w:r>
    </w:p>
    <w:p w14:paraId="4C493B76">
      <w:pPr>
        <w:spacing w:line="480" w:lineRule="exact"/>
        <w:ind w:firstLine="560" w:firstLineChars="200"/>
        <w:rPr>
          <w:rFonts w:hint="eastAsia" w:ascii="仿宋_GB2312" w:eastAsia="仿宋_GB2312"/>
          <w:sz w:val="28"/>
        </w:rPr>
      </w:pPr>
    </w:p>
    <w:tbl>
      <w:tblPr>
        <w:tblStyle w:val="4"/>
        <w:tblpPr w:leftFromText="180" w:rightFromText="180" w:vertAnchor="text" w:tblpX="5036" w:tblpY="1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2102"/>
      </w:tblGrid>
      <w:tr w14:paraId="40A84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809" w:type="dxa"/>
            <w:noWrap w:val="0"/>
            <w:vAlign w:val="top"/>
          </w:tcPr>
          <w:p w14:paraId="416A2188">
            <w:pPr>
              <w:tabs>
                <w:tab w:val="left" w:pos="7410"/>
              </w:tabs>
              <w:spacing w:line="600" w:lineRule="exact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hAnsi="华文仿宋" w:eastAsia="仿宋_GB2312"/>
                <w:sz w:val="28"/>
              </w:rPr>
              <w:t>委托人签署：</w:t>
            </w:r>
          </w:p>
        </w:tc>
        <w:tc>
          <w:tcPr>
            <w:tcW w:w="2102" w:type="dxa"/>
            <w:noWrap w:val="0"/>
            <w:vAlign w:val="top"/>
          </w:tcPr>
          <w:p w14:paraId="4185DEEF">
            <w:pPr>
              <w:tabs>
                <w:tab w:val="left" w:pos="7410"/>
              </w:tabs>
              <w:spacing w:line="600" w:lineRule="exact"/>
              <w:rPr>
                <w:rFonts w:hint="eastAsia" w:ascii="仿宋_GB2312" w:eastAsia="仿宋_GB2312"/>
                <w:sz w:val="28"/>
              </w:rPr>
            </w:pPr>
          </w:p>
        </w:tc>
      </w:tr>
    </w:tbl>
    <w:p w14:paraId="616E506C">
      <w:pPr>
        <w:tabs>
          <w:tab w:val="left" w:pos="7410"/>
        </w:tabs>
        <w:spacing w:line="600" w:lineRule="exact"/>
        <w:rPr>
          <w:rFonts w:ascii="仿宋_GB2312" w:eastAsia="仿宋_GB2312"/>
          <w:sz w:val="28"/>
        </w:rPr>
      </w:pPr>
    </w:p>
    <w:tbl>
      <w:tblPr>
        <w:tblStyle w:val="4"/>
        <w:tblW w:w="0" w:type="auto"/>
        <w:tblInd w:w="534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1"/>
        <w:gridCol w:w="409"/>
        <w:gridCol w:w="610"/>
        <w:gridCol w:w="559"/>
        <w:gridCol w:w="528"/>
        <w:gridCol w:w="496"/>
      </w:tblGrid>
      <w:tr w14:paraId="703805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01" w:type="dxa"/>
            <w:noWrap w:val="0"/>
            <w:vAlign w:val="top"/>
          </w:tcPr>
          <w:p w14:paraId="0B7DCFBB">
            <w:pPr>
              <w:tabs>
                <w:tab w:val="left" w:pos="7410"/>
              </w:tabs>
              <w:spacing w:line="600" w:lineRule="exact"/>
              <w:rPr>
                <w:rFonts w:hint="eastAsia" w:ascii="仿宋_GB2312" w:eastAsia="仿宋_GB2312"/>
                <w:sz w:val="28"/>
              </w:rPr>
            </w:pPr>
          </w:p>
        </w:tc>
        <w:tc>
          <w:tcPr>
            <w:tcW w:w="409" w:type="dxa"/>
            <w:noWrap w:val="0"/>
            <w:vAlign w:val="top"/>
          </w:tcPr>
          <w:p w14:paraId="4B1A659E">
            <w:pPr>
              <w:tabs>
                <w:tab w:val="left" w:pos="7410"/>
              </w:tabs>
              <w:spacing w:line="600" w:lineRule="exact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年</w:t>
            </w:r>
          </w:p>
        </w:tc>
        <w:tc>
          <w:tcPr>
            <w:tcW w:w="610" w:type="dxa"/>
            <w:noWrap w:val="0"/>
            <w:vAlign w:val="top"/>
          </w:tcPr>
          <w:p w14:paraId="04EAF737">
            <w:pPr>
              <w:tabs>
                <w:tab w:val="left" w:pos="7410"/>
              </w:tabs>
              <w:spacing w:line="600" w:lineRule="exact"/>
              <w:rPr>
                <w:rFonts w:hint="eastAsia" w:ascii="仿宋_GB2312" w:eastAsia="仿宋_GB2312"/>
                <w:sz w:val="28"/>
              </w:rPr>
            </w:pPr>
          </w:p>
        </w:tc>
        <w:tc>
          <w:tcPr>
            <w:tcW w:w="559" w:type="dxa"/>
            <w:noWrap w:val="0"/>
            <w:vAlign w:val="top"/>
          </w:tcPr>
          <w:p w14:paraId="3D59E568">
            <w:pPr>
              <w:tabs>
                <w:tab w:val="left" w:pos="7410"/>
              </w:tabs>
              <w:spacing w:line="600" w:lineRule="exact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月</w:t>
            </w:r>
          </w:p>
        </w:tc>
        <w:tc>
          <w:tcPr>
            <w:tcW w:w="528" w:type="dxa"/>
            <w:noWrap w:val="0"/>
            <w:vAlign w:val="top"/>
          </w:tcPr>
          <w:p w14:paraId="577FFB9A">
            <w:pPr>
              <w:tabs>
                <w:tab w:val="left" w:pos="7410"/>
              </w:tabs>
              <w:spacing w:line="600" w:lineRule="exact"/>
              <w:rPr>
                <w:rFonts w:hint="eastAsia" w:ascii="仿宋_GB2312" w:eastAsia="仿宋_GB2312"/>
                <w:sz w:val="28"/>
                <w:lang w:val="en-US" w:eastAsia="zh-CN"/>
              </w:rPr>
            </w:pPr>
          </w:p>
        </w:tc>
        <w:tc>
          <w:tcPr>
            <w:tcW w:w="496" w:type="dxa"/>
            <w:noWrap w:val="0"/>
            <w:vAlign w:val="top"/>
          </w:tcPr>
          <w:p w14:paraId="20B341EB">
            <w:pPr>
              <w:tabs>
                <w:tab w:val="left" w:pos="7410"/>
              </w:tabs>
              <w:spacing w:line="600" w:lineRule="exact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日</w:t>
            </w:r>
          </w:p>
        </w:tc>
      </w:tr>
    </w:tbl>
    <w:p w14:paraId="2E29DAE0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440" w:lineRule="exact"/>
        <w:textAlignment w:val="baseline"/>
        <w:rPr>
          <w:rFonts w:hint="eastAsia" w:ascii="仿宋_GB2312" w:hAnsi="Times New Roman" w:eastAsia="仿宋_GB2312" w:cs="Times New Roman"/>
          <w:kern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720" w:right="720" w:bottom="720" w:left="720" w:header="680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 Light">
    <w:panose1 w:val="020B0502040204020203"/>
    <w:charset w:val="86"/>
    <w:family w:val="swiss"/>
    <w:pitch w:val="default"/>
    <w:sig w:usb0="80000287" w:usb1="2ACF001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42E0FE">
    <w:pPr>
      <w:autoSpaceDE w:val="0"/>
      <w:autoSpaceDN w:val="0"/>
      <w:adjustRightInd w:val="0"/>
      <w:jc w:val="left"/>
      <w:rPr>
        <w:rFonts w:hint="eastAsia" w:ascii="黑体" w:hAnsi="Arial" w:eastAsia="黑体" w:cs="黑体"/>
        <w:b/>
        <w:bCs/>
        <w:color w:val="3366FF"/>
        <w:u w:val="single"/>
        <w:lang w:val="zh-CN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rFonts w:hint="eastAsia" w:ascii="黑体" w:hAnsi="Arial" w:eastAsia="黑体" w:cs="黑体"/>
        <w:b/>
        <w:bCs/>
        <w:color w:val="3366FF"/>
        <w:u w:val="single"/>
        <w:lang w:val="zh-CN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                                                                                                   </w:t>
    </w:r>
  </w:p>
  <w:p w14:paraId="50BEDF69">
    <w:pPr>
      <w:autoSpaceDE w:val="0"/>
      <w:autoSpaceDN w:val="0"/>
      <w:adjustRightInd w:val="0"/>
      <w:rPr>
        <w:rFonts w:hint="eastAsia" w:ascii="微软雅黑 Light" w:hAnsi="微软雅黑 Light" w:eastAsia="微软雅黑 Light" w:cs="黑体"/>
        <w:bCs/>
        <w:color w:val="3366FF"/>
        <w:lang w:val="zh-CN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rFonts w:hint="eastAsia" w:ascii="微软雅黑 Light" w:hAnsi="微软雅黑 Light" w:eastAsia="微软雅黑 Light" w:cs="黑体"/>
        <w:bCs/>
        <w:color w:val="3366FF"/>
        <w:lang w:val="zh-CN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地址：</w:t>
    </w:r>
    <w:r>
      <w:rPr>
        <w:rFonts w:hint="eastAsia" w:ascii="微软雅黑 Light" w:hAnsi="微软雅黑 Light" w:eastAsia="微软雅黑 Light"/>
        <w:color w:val="3366FF"/>
      </w:rPr>
      <w:t>新疆乌鲁木齐市</w:t>
    </w:r>
    <w:r>
      <w:rPr>
        <w:rFonts w:hint="eastAsia" w:ascii="微软雅黑 Light" w:hAnsi="微软雅黑 Light" w:eastAsia="微软雅黑 Light"/>
        <w:color w:val="3366FF"/>
        <w:lang w:eastAsia="zh-CN"/>
      </w:rPr>
      <w:t>水磨沟区红光山路</w:t>
    </w:r>
    <w:r>
      <w:rPr>
        <w:rFonts w:hint="eastAsia" w:ascii="微软雅黑 Light" w:hAnsi="微软雅黑 Light" w:eastAsia="微软雅黑 Light"/>
        <w:color w:val="3366FF"/>
        <w:lang w:val="en-US" w:eastAsia="zh-CN"/>
      </w:rPr>
      <w:t>2588号绿地商务中心101栋9层</w:t>
    </w:r>
  </w:p>
  <w:p w14:paraId="05B177CF">
    <w:pPr>
      <w:autoSpaceDE w:val="0"/>
      <w:autoSpaceDN w:val="0"/>
      <w:adjustRightInd w:val="0"/>
      <w:rPr>
        <w:rFonts w:hint="eastAsia"/>
        <w:lang w:val="en-US" w:eastAsia="zh-CN"/>
      </w:rPr>
    </w:pPr>
    <w:r>
      <w:rPr>
        <w:rFonts w:hint="eastAsia" w:ascii="微软雅黑 Light" w:hAnsi="微软雅黑 Light" w:eastAsia="微软雅黑 Light" w:cs="黑体"/>
        <w:bCs/>
        <w:color w:val="3366FF"/>
        <w:lang w:val="zh-CN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网址：</w:t>
    </w:r>
    <w:r>
      <w:rPr>
        <w:rFonts w:ascii="微软雅黑 Light" w:hAnsi="微软雅黑 Light" w:eastAsia="微软雅黑 Light" w:cs="黑体"/>
        <w:bCs/>
        <w:color w:val="3366FF"/>
        <w:lang w:val="zh-CN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fldChar w:fldCharType="begin"/>
    </w:r>
    <w:r>
      <w:rPr>
        <w:rFonts w:ascii="微软雅黑 Light" w:hAnsi="微软雅黑 Light" w:eastAsia="微软雅黑 Light" w:cs="黑体"/>
        <w:bCs/>
        <w:color w:val="3366FF"/>
        <w:lang w:val="zh-CN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instrText xml:space="preserve"> HYPERLINK "http://</w:instrText>
    </w:r>
    <w:r>
      <w:rPr>
        <w:rFonts w:hint="eastAsia" w:ascii="微软雅黑 Light" w:hAnsi="微软雅黑 Light" w:eastAsia="微软雅黑 Light" w:cs="黑体"/>
        <w:bCs/>
        <w:color w:val="3366FF"/>
        <w:lang w:val="zh-CN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instrText xml:space="preserve">www.yingkelawyer.com</w:instrText>
    </w:r>
    <w:r>
      <w:rPr>
        <w:rFonts w:ascii="微软雅黑 Light" w:hAnsi="微软雅黑 Light" w:eastAsia="微软雅黑 Light" w:cs="黑体"/>
        <w:bCs/>
        <w:color w:val="3366FF"/>
        <w:lang w:val="zh-CN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instrText xml:space="preserve">" </w:instrText>
    </w:r>
    <w:r>
      <w:rPr>
        <w:rFonts w:ascii="微软雅黑 Light" w:hAnsi="微软雅黑 Light" w:eastAsia="微软雅黑 Light" w:cs="黑体"/>
        <w:bCs/>
        <w:color w:val="3366FF"/>
        <w:lang w:val="zh-CN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fldChar w:fldCharType="separate"/>
    </w:r>
    <w:r>
      <w:rPr>
        <w:rFonts w:hint="eastAsia" w:ascii="微软雅黑 Light" w:hAnsi="微软雅黑 Light" w:eastAsia="微软雅黑 Light"/>
        <w:color w:val="3366FF"/>
        <w:lang w:val="zh-CN"/>
      </w:rPr>
      <w:t>www.yingkelawyer.com</w:t>
    </w:r>
    <w:r>
      <w:rPr>
        <w:rFonts w:ascii="微软雅黑 Light" w:hAnsi="微软雅黑 Light" w:eastAsia="微软雅黑 Light" w:cs="黑体"/>
        <w:bCs/>
        <w:color w:val="3366FF"/>
        <w:lang w:val="zh-CN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fldChar w:fldCharType="end"/>
    </w:r>
    <w:r>
      <w:rPr>
        <w:rFonts w:ascii="微软雅黑 Light" w:hAnsi="微软雅黑 Light" w:eastAsia="微软雅黑 Light" w:cs="黑体"/>
        <w:bCs/>
        <w:color w:val="3366FF"/>
        <w:lang w:val="zh-CN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；</w:t>
    </w:r>
    <w:r>
      <w:rPr>
        <w:rFonts w:hint="eastAsia" w:ascii="微软雅黑 Light" w:hAnsi="微软雅黑 Light" w:eastAsia="微软雅黑 Light" w:cs="黑体"/>
        <w:bCs/>
        <w:color w:val="3366FF"/>
        <w:lang w:val="zh-CN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电话：</w:t>
    </w:r>
    <w:r>
      <w:rPr>
        <w:rFonts w:hint="eastAsia" w:ascii="微软雅黑 Light" w:hAnsi="微软雅黑 Light" w:eastAsia="微软雅黑 Light"/>
        <w:color w:val="3366FF"/>
      </w:rPr>
      <w:t>0991-4651099</w:t>
    </w:r>
    <w:r>
      <w:rPr>
        <w:rFonts w:hint="eastAsia" w:ascii="微软雅黑 Light" w:hAnsi="微软雅黑 Light" w:eastAsia="微软雅黑 Light" w:cs="黑体"/>
        <w:bCs/>
        <w:color w:val="3366FF"/>
        <w:lang w:val="zh-CN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；传真：</w:t>
    </w:r>
    <w:r>
      <w:rPr>
        <w:rFonts w:hint="eastAsia" w:ascii="微软雅黑 Light" w:hAnsi="微软雅黑 Light" w:eastAsia="微软雅黑 Light"/>
        <w:color w:val="3366FF"/>
      </w:rPr>
      <w:t>0991-4686070</w:t>
    </w:r>
  </w:p>
  <w:p w14:paraId="403B01D6">
    <w:pPr>
      <w:pStyle w:val="2"/>
    </w:pPr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2644775</wp:posOffset>
              </wp:positionH>
              <wp:positionV relativeFrom="paragraph">
                <wp:posOffset>208280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9632C47"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5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08.25pt;margin-top:16.4pt;height:144pt;width:144pt;mso-position-horizontal-relative:margin;mso-wrap-style:none;z-index:251659264;mso-width-relative:page;mso-height-relative:page;" filled="f" stroked="f" coordsize="21600,21600" o:gfxdata="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HTBcX1gAAAAoBAAAPAAAAAAAAAAEAIAAAACIAAABkcnMvZG93bnJldi54bWxQ&#10;SwECFAAUAAAACACHTuJA4YDTjjICAABhBAAADgAAAAAAAAABACAAAAAl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9632C47"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5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7F35DD">
    <w:pPr>
      <w:pStyle w:val="3"/>
      <w:pBdr>
        <w:bottom w:val="none" w:color="auto" w:sz="0" w:space="1"/>
      </w:pBdr>
      <w:jc w:val="right"/>
    </w:pPr>
    <w: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3736340</wp:posOffset>
          </wp:positionH>
          <wp:positionV relativeFrom="page">
            <wp:posOffset>357505</wp:posOffset>
          </wp:positionV>
          <wp:extent cx="2395220" cy="363855"/>
          <wp:effectExtent l="0" t="0" r="5080" b="17145"/>
          <wp:wrapNone/>
          <wp:docPr id="1" name="图片 1" descr="乌鲁木齐分所标志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乌鲁木齐分所标志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95220" cy="363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302227F">
    <w:pPr>
      <w:pStyle w:val="3"/>
      <w:pBdr>
        <w:bottom w:val="single" w:color="auto" w:sz="4" w:space="1"/>
      </w:pBdr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Q4ODQwNThiYTg4YTBlNDhkZDRmNGNiNWM5NWE1YzAifQ=="/>
  </w:docVars>
  <w:rsids>
    <w:rsidRoot w:val="00737238"/>
    <w:rsid w:val="000C04B7"/>
    <w:rsid w:val="00110149"/>
    <w:rsid w:val="00737238"/>
    <w:rsid w:val="07DA2EE3"/>
    <w:rsid w:val="087371FA"/>
    <w:rsid w:val="0A865A22"/>
    <w:rsid w:val="0A8730D3"/>
    <w:rsid w:val="0DBF38C6"/>
    <w:rsid w:val="12060A60"/>
    <w:rsid w:val="14DB5090"/>
    <w:rsid w:val="172D724F"/>
    <w:rsid w:val="1F595E9F"/>
    <w:rsid w:val="216821F1"/>
    <w:rsid w:val="22504B5C"/>
    <w:rsid w:val="29235235"/>
    <w:rsid w:val="2AB053B8"/>
    <w:rsid w:val="2F7846AA"/>
    <w:rsid w:val="32963025"/>
    <w:rsid w:val="33657CD2"/>
    <w:rsid w:val="36921DD3"/>
    <w:rsid w:val="37FE50AE"/>
    <w:rsid w:val="3F913D3F"/>
    <w:rsid w:val="40261692"/>
    <w:rsid w:val="44A273CC"/>
    <w:rsid w:val="45CD50CC"/>
    <w:rsid w:val="49D63E64"/>
    <w:rsid w:val="4BF77CD3"/>
    <w:rsid w:val="4D646602"/>
    <w:rsid w:val="50D23644"/>
    <w:rsid w:val="51553653"/>
    <w:rsid w:val="53E40883"/>
    <w:rsid w:val="548766AE"/>
    <w:rsid w:val="572606B3"/>
    <w:rsid w:val="58CB24D1"/>
    <w:rsid w:val="58D13FD1"/>
    <w:rsid w:val="5ACD7927"/>
    <w:rsid w:val="5C8F7561"/>
    <w:rsid w:val="5CF97507"/>
    <w:rsid w:val="5DC14444"/>
    <w:rsid w:val="5E0F4559"/>
    <w:rsid w:val="61690586"/>
    <w:rsid w:val="616A23F3"/>
    <w:rsid w:val="62351869"/>
    <w:rsid w:val="659A3EC8"/>
    <w:rsid w:val="6BC60E3E"/>
    <w:rsid w:val="6DB74276"/>
    <w:rsid w:val="6E175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  <w:textAlignment w:val="baseline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6">
    <w:name w:val="15"/>
    <w:basedOn w:val="5"/>
    <w:qFormat/>
    <w:uiPriority w:val="0"/>
    <w:rPr>
      <w:rFonts w:hint="default" w:ascii="Times New Roman" w:hAnsi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3195</Words>
  <Characters>3307</Characters>
  <Lines>20</Lines>
  <Paragraphs>5</Paragraphs>
  <TotalTime>1</TotalTime>
  <ScaleCrop>false</ScaleCrop>
  <LinksUpToDate>false</LinksUpToDate>
  <CharactersWithSpaces>4113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2021-03-14T15:11:00Z</dcterms:created>
  <dc:creator>Administrator</dc:creator>
  <cp:lastModifiedBy>Luna</cp:lastModifiedBy>
  <dcterms:modified xsi:type="dcterms:W3CDTF">2024-08-23T05:40:38Z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28B6C29C4CF04D689A682A431C3BD2E4</vt:lpwstr>
  </property>
</Properties>
</file>