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4E02F">
      <w:pPr>
        <w:snapToGrid w:val="0"/>
        <w:rPr>
          <w:rFonts w:hint="eastAsia" w:ascii="仿宋" w:hAnsi="仿宋" w:eastAsia="仿宋" w:cs="仿宋"/>
          <w:b/>
          <w:kern w:val="0"/>
          <w:sz w:val="52"/>
          <w:highlight w:val="none"/>
          <w:lang w:val="en-GB"/>
        </w:rPr>
      </w:pPr>
      <w:bookmarkStart w:id="0" w:name="sn_JS20190119162818"/>
      <w:bookmarkEnd w:id="0"/>
    </w:p>
    <w:p w14:paraId="574DBC01">
      <w:pPr>
        <w:pStyle w:val="2"/>
        <w:rPr>
          <w:rFonts w:hint="eastAsia" w:ascii="仿宋" w:hAnsi="仿宋" w:eastAsia="仿宋" w:cs="仿宋"/>
          <w:sz w:val="40"/>
          <w:szCs w:val="40"/>
          <w:highlight w:val="none"/>
          <w:lang w:val="en-GB"/>
        </w:rPr>
      </w:pPr>
    </w:p>
    <w:p w14:paraId="00DC8D0D">
      <w:pPr>
        <w:rPr>
          <w:rFonts w:hint="eastAsia" w:ascii="仿宋" w:hAnsi="仿宋" w:eastAsia="仿宋" w:cs="仿宋"/>
          <w:sz w:val="24"/>
          <w:szCs w:val="22"/>
          <w:highlight w:val="none"/>
          <w:lang w:val="en-GB"/>
        </w:rPr>
      </w:pPr>
    </w:p>
    <w:p w14:paraId="0179451B">
      <w:pPr>
        <w:pStyle w:val="2"/>
        <w:rPr>
          <w:rFonts w:hint="eastAsia" w:ascii="仿宋" w:hAnsi="仿宋" w:eastAsia="仿宋" w:cs="仿宋"/>
          <w:sz w:val="44"/>
          <w:szCs w:val="44"/>
          <w:highlight w:val="none"/>
          <w:lang w:val="en-US" w:eastAsia="zh-CN"/>
        </w:rPr>
      </w:pPr>
      <w:bookmarkStart w:id="1" w:name="_Toc120889593"/>
      <w:r>
        <w:rPr>
          <w:rFonts w:hint="eastAsia" w:ascii="仿宋" w:hAnsi="仿宋" w:eastAsia="仿宋" w:cs="仿宋"/>
          <w:sz w:val="44"/>
          <w:szCs w:val="44"/>
          <w:highlight w:val="none"/>
          <w:lang w:val="en-US" w:eastAsia="zh-CN"/>
        </w:rPr>
        <w:t>莫呼察汗干渠一二级水电站</w:t>
      </w:r>
    </w:p>
    <w:p w14:paraId="25F58FF1">
      <w:pPr>
        <w:pStyle w:val="2"/>
        <w:rPr>
          <w:rFonts w:hint="eastAsia" w:ascii="仿宋" w:hAnsi="仿宋" w:eastAsia="仿宋" w:cs="仿宋"/>
          <w:sz w:val="44"/>
          <w:szCs w:val="44"/>
          <w:highlight w:val="none"/>
        </w:rPr>
      </w:pPr>
      <w:r>
        <w:rPr>
          <w:rFonts w:hint="eastAsia" w:ascii="仿宋" w:hAnsi="仿宋" w:eastAsia="仿宋" w:cs="仿宋"/>
          <w:sz w:val="44"/>
          <w:szCs w:val="44"/>
          <w:highlight w:val="none"/>
          <w:lang w:val="en-GB"/>
        </w:rPr>
        <w:t>涉网试验技术服务合同</w:t>
      </w:r>
      <w:bookmarkEnd w:id="1"/>
      <w:r>
        <w:rPr>
          <w:rFonts w:hint="eastAsia" w:ascii="仿宋" w:hAnsi="仿宋" w:eastAsia="仿宋" w:cs="仿宋"/>
          <w:sz w:val="44"/>
          <w:szCs w:val="44"/>
          <w:highlight w:val="none"/>
        </w:rPr>
        <w:t>(草案)</w:t>
      </w:r>
    </w:p>
    <w:p w14:paraId="78E40D70">
      <w:pPr>
        <w:pStyle w:val="2"/>
        <w:rPr>
          <w:rFonts w:hint="eastAsia" w:ascii="仿宋" w:hAnsi="仿宋" w:eastAsia="仿宋" w:cs="仿宋"/>
          <w:sz w:val="36"/>
          <w:szCs w:val="36"/>
          <w:highlight w:val="none"/>
          <w:lang w:val="en-GB"/>
        </w:rPr>
      </w:pPr>
    </w:p>
    <w:p w14:paraId="3B662B9E">
      <w:pPr>
        <w:jc w:val="center"/>
        <w:rPr>
          <w:rFonts w:hint="eastAsia" w:ascii="仿宋" w:hAnsi="仿宋" w:eastAsia="仿宋" w:cs="仿宋"/>
          <w:highlight w:val="none"/>
        </w:rPr>
      </w:pPr>
    </w:p>
    <w:p w14:paraId="59F08915">
      <w:pPr>
        <w:rPr>
          <w:rFonts w:hint="eastAsia" w:ascii="仿宋" w:hAnsi="仿宋" w:eastAsia="仿宋" w:cs="仿宋"/>
          <w:highlight w:val="none"/>
        </w:rPr>
      </w:pPr>
    </w:p>
    <w:p w14:paraId="3C3C60B1">
      <w:pPr>
        <w:rPr>
          <w:rFonts w:hint="eastAsia" w:ascii="仿宋" w:hAnsi="仿宋" w:eastAsia="仿宋" w:cs="仿宋"/>
          <w:highlight w:val="none"/>
        </w:rPr>
      </w:pPr>
    </w:p>
    <w:p w14:paraId="5D3F96D8">
      <w:pPr>
        <w:rPr>
          <w:rFonts w:hint="eastAsia" w:ascii="仿宋" w:hAnsi="仿宋" w:eastAsia="仿宋" w:cs="仿宋"/>
          <w:highlight w:val="none"/>
        </w:rPr>
      </w:pPr>
    </w:p>
    <w:p w14:paraId="0BDB0455">
      <w:pPr>
        <w:tabs>
          <w:tab w:val="left" w:pos="2400"/>
        </w:tabs>
        <w:spacing w:line="720" w:lineRule="exact"/>
        <w:rPr>
          <w:rFonts w:hint="eastAsia" w:ascii="仿宋" w:hAnsi="仿宋" w:eastAsia="仿宋" w:cs="仿宋"/>
          <w:b/>
          <w:sz w:val="32"/>
          <w:highlight w:val="none"/>
        </w:rPr>
      </w:pPr>
    </w:p>
    <w:p w14:paraId="57E42F13">
      <w:pPr>
        <w:tabs>
          <w:tab w:val="left" w:pos="2400"/>
        </w:tabs>
        <w:spacing w:line="720" w:lineRule="exact"/>
        <w:ind w:firstLine="640" w:firstLineChars="200"/>
        <w:rPr>
          <w:rFonts w:hint="eastAsia" w:ascii="仿宋" w:hAnsi="仿宋" w:eastAsia="仿宋" w:cs="仿宋"/>
          <w:b/>
          <w:sz w:val="32"/>
          <w:highlight w:val="none"/>
        </w:rPr>
      </w:pPr>
    </w:p>
    <w:p w14:paraId="3CCFF7CE">
      <w:pPr>
        <w:pStyle w:val="2"/>
        <w:rPr>
          <w:rFonts w:hint="eastAsia" w:ascii="仿宋" w:hAnsi="仿宋" w:eastAsia="仿宋" w:cs="仿宋"/>
          <w:highlight w:val="none"/>
        </w:rPr>
      </w:pPr>
    </w:p>
    <w:p w14:paraId="17A4839C">
      <w:pPr>
        <w:rPr>
          <w:rFonts w:hint="eastAsia" w:ascii="仿宋" w:hAnsi="仿宋" w:eastAsia="仿宋" w:cs="仿宋"/>
          <w:highlight w:val="none"/>
        </w:rPr>
      </w:pPr>
    </w:p>
    <w:p w14:paraId="3587280B">
      <w:pPr>
        <w:pStyle w:val="2"/>
        <w:rPr>
          <w:rFonts w:hint="eastAsia" w:ascii="仿宋" w:hAnsi="仿宋" w:eastAsia="仿宋" w:cs="仿宋"/>
          <w:highlight w:val="none"/>
        </w:rPr>
      </w:pPr>
    </w:p>
    <w:p w14:paraId="1D8E183F">
      <w:pPr>
        <w:tabs>
          <w:tab w:val="left" w:pos="2400"/>
        </w:tabs>
        <w:spacing w:line="360" w:lineRule="auto"/>
        <w:ind w:left="2545" w:leftChars="607" w:hanging="1271" w:hangingChars="454"/>
        <w:rPr>
          <w:rFonts w:hint="eastAsia" w:ascii="仿宋" w:hAnsi="仿宋" w:eastAsia="仿宋" w:cs="仿宋"/>
          <w:b/>
          <w:sz w:val="28"/>
          <w:szCs w:val="28"/>
          <w:highlight w:val="none"/>
        </w:rPr>
      </w:pPr>
    </w:p>
    <w:p w14:paraId="62277834">
      <w:pPr>
        <w:tabs>
          <w:tab w:val="left" w:pos="2400"/>
        </w:tabs>
        <w:spacing w:line="360" w:lineRule="auto"/>
        <w:ind w:left="2545" w:leftChars="607" w:hanging="1271" w:hangingChars="454"/>
        <w:rPr>
          <w:rFonts w:hint="eastAsia" w:ascii="仿宋" w:hAnsi="仿宋" w:eastAsia="仿宋" w:cs="仿宋"/>
          <w:b/>
          <w:sz w:val="28"/>
          <w:szCs w:val="28"/>
          <w:highlight w:val="none"/>
        </w:rPr>
      </w:pPr>
    </w:p>
    <w:p w14:paraId="79814470">
      <w:pPr>
        <w:tabs>
          <w:tab w:val="left" w:pos="2400"/>
        </w:tabs>
        <w:spacing w:line="360" w:lineRule="auto"/>
        <w:ind w:left="2545" w:leftChars="607" w:hanging="1271" w:hangingChars="454"/>
        <w:rPr>
          <w:rFonts w:hint="eastAsia" w:ascii="仿宋" w:hAnsi="仿宋" w:eastAsia="仿宋" w:cs="仿宋"/>
          <w:b/>
          <w:sz w:val="28"/>
          <w:szCs w:val="28"/>
          <w:highlight w:val="none"/>
        </w:rPr>
      </w:pPr>
    </w:p>
    <w:p w14:paraId="7B345529">
      <w:pPr>
        <w:tabs>
          <w:tab w:val="left" w:pos="2400"/>
        </w:tabs>
        <w:spacing w:line="360" w:lineRule="auto"/>
        <w:ind w:left="2545" w:leftChars="607" w:hanging="1271" w:hangingChars="454"/>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rPr>
        <w:t>项目名称：</w:t>
      </w:r>
      <w:r>
        <w:rPr>
          <w:rFonts w:hint="eastAsia" w:ascii="仿宋" w:hAnsi="仿宋" w:eastAsia="仿宋" w:cs="仿宋"/>
          <w:b/>
          <w:sz w:val="28"/>
          <w:szCs w:val="28"/>
          <w:highlight w:val="none"/>
          <w:lang w:val="en-US" w:eastAsia="zh-CN"/>
        </w:rPr>
        <w:t>莫呼察汗干渠一二级水电站</w:t>
      </w:r>
    </w:p>
    <w:p w14:paraId="773F73DF">
      <w:pPr>
        <w:tabs>
          <w:tab w:val="left" w:pos="2400"/>
        </w:tabs>
        <w:spacing w:line="360" w:lineRule="auto"/>
        <w:ind w:firstLine="1234" w:firstLineChars="441"/>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rPr>
        <w:t>委托方（甲方）：</w:t>
      </w:r>
      <w:r>
        <w:rPr>
          <w:rFonts w:hint="eastAsia" w:ascii="仿宋" w:hAnsi="仿宋" w:eastAsia="仿宋" w:cs="仿宋"/>
          <w:b/>
          <w:sz w:val="28"/>
          <w:szCs w:val="28"/>
          <w:highlight w:val="none"/>
          <w:lang w:val="en-US" w:eastAsia="zh-CN"/>
        </w:rPr>
        <w:t>巴州温和水电开发有限公司</w:t>
      </w:r>
    </w:p>
    <w:p w14:paraId="4EFDA6E9">
      <w:pPr>
        <w:tabs>
          <w:tab w:val="left" w:pos="2400"/>
        </w:tabs>
        <w:spacing w:line="360" w:lineRule="auto"/>
        <w:ind w:firstLine="1234" w:firstLineChars="441"/>
        <w:rPr>
          <w:rFonts w:hint="eastAsia" w:ascii="仿宋" w:hAnsi="仿宋" w:eastAsia="仿宋" w:cs="仿宋"/>
          <w:b/>
          <w:sz w:val="28"/>
          <w:szCs w:val="28"/>
          <w:highlight w:val="none"/>
        </w:rPr>
      </w:pPr>
      <w:r>
        <w:rPr>
          <w:rFonts w:hint="eastAsia" w:ascii="仿宋" w:hAnsi="仿宋" w:eastAsia="仿宋" w:cs="仿宋"/>
          <w:b/>
          <w:sz w:val="28"/>
          <w:szCs w:val="28"/>
          <w:highlight w:val="none"/>
        </w:rPr>
        <w:t>受托方（乙方）：新疆清能电力科技有限责任公司</w:t>
      </w:r>
    </w:p>
    <w:p w14:paraId="52803CBA">
      <w:pPr>
        <w:tabs>
          <w:tab w:val="left" w:pos="2400"/>
        </w:tabs>
        <w:spacing w:line="360" w:lineRule="auto"/>
        <w:ind w:firstLine="1234" w:firstLineChars="441"/>
        <w:rPr>
          <w:rFonts w:hint="eastAsia" w:ascii="仿宋" w:hAnsi="仿宋" w:eastAsia="仿宋" w:cs="仿宋"/>
          <w:b/>
          <w:sz w:val="28"/>
          <w:szCs w:val="28"/>
          <w:highlight w:val="none"/>
        </w:rPr>
      </w:pPr>
      <w:r>
        <w:rPr>
          <w:rFonts w:hint="eastAsia" w:ascii="仿宋" w:hAnsi="仿宋" w:eastAsia="仿宋" w:cs="仿宋"/>
          <w:b/>
          <w:sz w:val="28"/>
          <w:szCs w:val="28"/>
          <w:highlight w:val="none"/>
        </w:rPr>
        <w:t>签订时间 ：2024年</w:t>
      </w:r>
      <w:r>
        <w:rPr>
          <w:rFonts w:hint="eastAsia" w:ascii="仿宋" w:hAnsi="仿宋" w:eastAsia="仿宋" w:cs="仿宋"/>
          <w:b/>
          <w:sz w:val="28"/>
          <w:szCs w:val="28"/>
          <w:highlight w:val="none"/>
          <w:lang w:val="en-US" w:eastAsia="zh-CN"/>
        </w:rPr>
        <w:t>8</w:t>
      </w:r>
      <w:r>
        <w:rPr>
          <w:rFonts w:hint="eastAsia" w:ascii="仿宋" w:hAnsi="仿宋" w:eastAsia="仿宋" w:cs="仿宋"/>
          <w:b/>
          <w:sz w:val="28"/>
          <w:szCs w:val="28"/>
          <w:highlight w:val="none"/>
        </w:rPr>
        <w:t>月</w:t>
      </w:r>
      <w:r>
        <w:rPr>
          <w:rFonts w:hint="eastAsia" w:ascii="仿宋" w:hAnsi="仿宋" w:eastAsia="仿宋" w:cs="仿宋"/>
          <w:b/>
          <w:sz w:val="28"/>
          <w:szCs w:val="28"/>
          <w:highlight w:val="none"/>
        </w:rPr>
        <w:tab/>
      </w:r>
    </w:p>
    <w:p w14:paraId="2DFA8C92">
      <w:pPr>
        <w:tabs>
          <w:tab w:val="left" w:pos="2400"/>
        </w:tabs>
        <w:spacing w:line="360" w:lineRule="auto"/>
        <w:ind w:firstLine="1234" w:firstLineChars="441"/>
        <w:rPr>
          <w:rFonts w:hint="eastAsia" w:ascii="仿宋" w:hAnsi="仿宋" w:eastAsia="仿宋" w:cs="仿宋"/>
          <w:b/>
          <w:sz w:val="28"/>
          <w:szCs w:val="28"/>
          <w:highlight w:val="none"/>
        </w:rPr>
      </w:pPr>
      <w:r>
        <w:rPr>
          <w:rFonts w:hint="eastAsia" w:ascii="仿宋" w:hAnsi="仿宋" w:eastAsia="仿宋" w:cs="仿宋"/>
          <w:b/>
          <w:sz w:val="28"/>
          <w:szCs w:val="28"/>
          <w:highlight w:val="none"/>
        </w:rPr>
        <w:t>签订地点：新疆</w:t>
      </w:r>
    </w:p>
    <w:p w14:paraId="52272433">
      <w:pPr>
        <w:spacing w:line="720" w:lineRule="exact"/>
        <w:rPr>
          <w:rFonts w:hint="eastAsia" w:ascii="仿宋" w:hAnsi="仿宋" w:eastAsia="仿宋" w:cs="仿宋"/>
          <w:highlight w:val="none"/>
        </w:rPr>
      </w:pPr>
      <w:r>
        <w:rPr>
          <w:rFonts w:hint="eastAsia" w:ascii="仿宋" w:hAnsi="仿宋" w:eastAsia="仿宋" w:cs="仿宋"/>
          <w:highlight w:val="none"/>
        </w:rPr>
        <w:br w:type="page"/>
      </w:r>
    </w:p>
    <w:p w14:paraId="3BCFA530">
      <w:pPr>
        <w:widowControl/>
        <w:spacing w:line="480" w:lineRule="exact"/>
        <w:ind w:firstLine="643"/>
        <w:jc w:val="center"/>
        <w:rPr>
          <w:rFonts w:hint="eastAsia" w:ascii="仿宋" w:hAnsi="仿宋" w:eastAsia="仿宋" w:cs="仿宋"/>
          <w:b/>
          <w:snapToGrid w:val="0"/>
          <w:kern w:val="0"/>
          <w:sz w:val="32"/>
          <w:highlight w:val="none"/>
        </w:rPr>
      </w:pPr>
      <w:r>
        <w:rPr>
          <w:rFonts w:hint="eastAsia" w:ascii="仿宋" w:hAnsi="仿宋" w:eastAsia="仿宋" w:cs="仿宋"/>
          <w:b/>
          <w:snapToGrid w:val="0"/>
          <w:kern w:val="0"/>
          <w:sz w:val="32"/>
          <w:highlight w:val="none"/>
        </w:rPr>
        <w:t>技术服务合同</w:t>
      </w:r>
    </w:p>
    <w:p w14:paraId="445600BE">
      <w:pPr>
        <w:widowControl/>
        <w:spacing w:line="480" w:lineRule="exact"/>
        <w:ind w:firstLine="643"/>
        <w:jc w:val="center"/>
        <w:rPr>
          <w:rFonts w:hint="eastAsia" w:ascii="仿宋" w:hAnsi="仿宋" w:eastAsia="仿宋" w:cs="仿宋"/>
          <w:b/>
          <w:snapToGrid w:val="0"/>
          <w:kern w:val="0"/>
          <w:sz w:val="32"/>
          <w:highlight w:val="none"/>
        </w:rPr>
      </w:pPr>
    </w:p>
    <w:p w14:paraId="28B4CD3F">
      <w:pPr>
        <w:widowControl/>
        <w:spacing w:line="360" w:lineRule="auto"/>
        <w:jc w:val="left"/>
        <w:rPr>
          <w:rFonts w:hint="eastAsia" w:ascii="仿宋" w:hAnsi="仿宋" w:eastAsia="仿宋" w:cs="仿宋"/>
          <w:snapToGrid w:val="0"/>
          <w:kern w:val="0"/>
          <w:sz w:val="24"/>
          <w:szCs w:val="24"/>
          <w:highlight w:val="none"/>
          <w:lang w:val="en-US" w:eastAsia="zh-CN"/>
        </w:rPr>
      </w:pPr>
      <w:r>
        <w:rPr>
          <w:rFonts w:hint="eastAsia" w:ascii="仿宋" w:hAnsi="仿宋" w:eastAsia="仿宋" w:cs="仿宋"/>
          <w:snapToGrid w:val="0"/>
          <w:kern w:val="0"/>
          <w:sz w:val="24"/>
          <w:szCs w:val="24"/>
          <w:highlight w:val="none"/>
        </w:rPr>
        <w:t>委托方（甲方）：</w:t>
      </w:r>
      <w:r>
        <w:rPr>
          <w:rFonts w:hint="eastAsia" w:ascii="仿宋" w:hAnsi="仿宋" w:eastAsia="仿宋" w:cs="仿宋"/>
          <w:snapToGrid w:val="0"/>
          <w:kern w:val="0"/>
          <w:sz w:val="24"/>
          <w:szCs w:val="24"/>
          <w:highlight w:val="none"/>
          <w:lang w:val="en-US" w:eastAsia="zh-CN"/>
        </w:rPr>
        <w:t>巴州温和水电开发有限公司</w:t>
      </w:r>
    </w:p>
    <w:p w14:paraId="018F5DF2">
      <w:pPr>
        <w:widowControl/>
        <w:spacing w:line="360" w:lineRule="auto"/>
        <w:jc w:val="left"/>
        <w:rPr>
          <w:rFonts w:hint="eastAsia" w:ascii="仿宋" w:hAnsi="仿宋" w:eastAsia="仿宋" w:cs="仿宋"/>
          <w:snapToGrid w:val="0"/>
          <w:kern w:val="0"/>
          <w:sz w:val="24"/>
          <w:szCs w:val="24"/>
          <w:highlight w:val="none"/>
          <w:lang w:val="en-US" w:eastAsia="zh-CN"/>
        </w:rPr>
      </w:pPr>
      <w:r>
        <w:rPr>
          <w:rFonts w:hint="eastAsia" w:ascii="仿宋" w:hAnsi="仿宋" w:eastAsia="仿宋" w:cs="仿宋"/>
          <w:snapToGrid w:val="0"/>
          <w:kern w:val="0"/>
          <w:sz w:val="24"/>
          <w:szCs w:val="24"/>
          <w:highlight w:val="none"/>
          <w:lang w:val="en-US" w:eastAsia="zh-CN"/>
        </w:rPr>
        <w:t>统一社会信用代码：916528270577429100</w:t>
      </w:r>
    </w:p>
    <w:p w14:paraId="42E6273A">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住所地：新疆巴州和静县工业园区哈尔莫墩矿业</w:t>
      </w:r>
      <w:r>
        <w:rPr>
          <w:rFonts w:hint="eastAsia" w:ascii="仿宋" w:hAnsi="仿宋" w:eastAsia="仿宋" w:cs="仿宋"/>
          <w:snapToGrid w:val="0"/>
          <w:kern w:val="0"/>
          <w:sz w:val="24"/>
          <w:szCs w:val="24"/>
          <w:highlight w:val="none"/>
          <w:lang w:val="en-US" w:eastAsia="zh-CN"/>
        </w:rPr>
        <w:t>区</w:t>
      </w:r>
    </w:p>
    <w:p w14:paraId="2BF672A0">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法定代表人：管丽萍</w:t>
      </w:r>
    </w:p>
    <w:p w14:paraId="685B7CB2">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项目联系人：</w:t>
      </w:r>
      <w:r>
        <w:rPr>
          <w:rFonts w:hint="eastAsia" w:ascii="仿宋" w:hAnsi="仿宋" w:eastAsia="仿宋" w:cs="仿宋"/>
          <w:snapToGrid w:val="0"/>
          <w:kern w:val="0"/>
          <w:sz w:val="24"/>
          <w:szCs w:val="24"/>
          <w:highlight w:val="none"/>
          <w:lang w:val="en-US" w:eastAsia="zh-CN"/>
        </w:rPr>
        <w:t>张建</w:t>
      </w:r>
    </w:p>
    <w:p w14:paraId="79D4BE3D">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通讯地址：库尔勒市石化大道杜鹃路79号沁春锦苑售房部</w:t>
      </w:r>
    </w:p>
    <w:p w14:paraId="733B8F0C">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电话：18119116451传真：/</w:t>
      </w:r>
    </w:p>
    <w:p w14:paraId="7D1D8552">
      <w:pPr>
        <w:widowControl/>
        <w:spacing w:line="360" w:lineRule="auto"/>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电子信箱：/</w:t>
      </w:r>
    </w:p>
    <w:p w14:paraId="44AB5BDB">
      <w:pPr>
        <w:widowControl/>
        <w:spacing w:line="360" w:lineRule="auto"/>
        <w:ind w:firstLine="566" w:firstLineChars="236"/>
        <w:jc w:val="left"/>
        <w:rPr>
          <w:rFonts w:hint="eastAsia" w:ascii="仿宋" w:hAnsi="仿宋" w:eastAsia="仿宋" w:cs="仿宋"/>
          <w:snapToGrid w:val="0"/>
          <w:kern w:val="0"/>
          <w:sz w:val="24"/>
          <w:szCs w:val="24"/>
          <w:highlight w:val="none"/>
          <w:lang w:eastAsia="zh-CN"/>
        </w:rPr>
      </w:pPr>
    </w:p>
    <w:p w14:paraId="61367293">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受托方（乙方）：新疆清能电力科技有限责任公司</w:t>
      </w:r>
    </w:p>
    <w:p w14:paraId="799A16A9">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住所地：</w:t>
      </w:r>
      <w:r>
        <w:rPr>
          <w:rFonts w:hint="eastAsia" w:ascii="仿宋" w:hAnsi="仿宋" w:eastAsia="仿宋" w:cs="仿宋"/>
          <w:snapToGrid w:val="0"/>
          <w:kern w:val="0"/>
          <w:sz w:val="24"/>
          <w:szCs w:val="24"/>
          <w:highlight w:val="none"/>
          <w:lang w:eastAsia="zh-CN"/>
        </w:rPr>
        <w:t>新疆乌鲁木齐高新区（新市区）杭州路街道长春中路1555号1501</w:t>
      </w:r>
    </w:p>
    <w:p w14:paraId="2FF19C93">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法定代表人：</w:t>
      </w:r>
    </w:p>
    <w:p w14:paraId="0EA34127">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项目联系人：押晓添</w:t>
      </w:r>
    </w:p>
    <w:p w14:paraId="01DC4ADD">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通讯地址：</w:t>
      </w:r>
      <w:r>
        <w:rPr>
          <w:rFonts w:hint="eastAsia" w:ascii="仿宋" w:hAnsi="仿宋" w:eastAsia="仿宋" w:cs="仿宋"/>
          <w:snapToGrid w:val="0"/>
          <w:kern w:val="0"/>
          <w:sz w:val="24"/>
          <w:szCs w:val="24"/>
          <w:highlight w:val="none"/>
          <w:lang w:eastAsia="zh-CN"/>
        </w:rPr>
        <w:t>新疆乌鲁木齐高新区（新市区）杭州路街道长春中路1555号1501</w:t>
      </w:r>
    </w:p>
    <w:p w14:paraId="5D60A6DF">
      <w:pPr>
        <w:widowControl/>
        <w:spacing w:line="360" w:lineRule="auto"/>
        <w:jc w:val="left"/>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电话：</w:t>
      </w:r>
      <w:r>
        <w:rPr>
          <w:rFonts w:hint="eastAsia" w:ascii="仿宋" w:hAnsi="仿宋" w:eastAsia="仿宋" w:cs="仿宋"/>
          <w:snapToGrid w:val="0"/>
          <w:kern w:val="0"/>
          <w:sz w:val="24"/>
          <w:szCs w:val="24"/>
          <w:highlight w:val="none"/>
          <w:lang w:val="en-US" w:eastAsia="zh-CN"/>
        </w:rPr>
        <w:t xml:space="preserve">13629249295           </w:t>
      </w:r>
      <w:r>
        <w:rPr>
          <w:rFonts w:hint="eastAsia" w:ascii="仿宋" w:hAnsi="仿宋" w:eastAsia="仿宋" w:cs="仿宋"/>
          <w:snapToGrid w:val="0"/>
          <w:kern w:val="0"/>
          <w:sz w:val="24"/>
          <w:szCs w:val="24"/>
          <w:highlight w:val="none"/>
        </w:rPr>
        <w:t>传真：</w:t>
      </w:r>
    </w:p>
    <w:p w14:paraId="177086B8">
      <w:pPr>
        <w:widowControl/>
        <w:spacing w:line="360" w:lineRule="auto"/>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电子信箱：</w:t>
      </w:r>
    </w:p>
    <w:p w14:paraId="072DD381">
      <w:pPr>
        <w:widowControl/>
        <w:spacing w:line="360" w:lineRule="auto"/>
        <w:jc w:val="left"/>
        <w:rPr>
          <w:rFonts w:hint="eastAsia" w:ascii="仿宋" w:hAnsi="仿宋" w:eastAsia="仿宋" w:cs="仿宋"/>
          <w:snapToGrid w:val="0"/>
          <w:kern w:val="0"/>
          <w:sz w:val="24"/>
          <w:szCs w:val="24"/>
          <w:highlight w:val="none"/>
          <w:lang w:eastAsia="zh-CN"/>
        </w:rPr>
      </w:pPr>
    </w:p>
    <w:p w14:paraId="436D009F">
      <w:pPr>
        <w:widowControl/>
        <w:spacing w:line="360" w:lineRule="auto"/>
        <w:ind w:firstLine="566" w:firstLineChars="236"/>
        <w:jc w:val="left"/>
        <w:rPr>
          <w:rFonts w:hint="eastAsia" w:ascii="仿宋" w:hAnsi="仿宋" w:eastAsia="仿宋" w:cs="仿宋"/>
          <w:snapToGrid w:val="0"/>
          <w:kern w:val="0"/>
          <w:sz w:val="24"/>
          <w:szCs w:val="24"/>
          <w:highlight w:val="none"/>
          <w:u w:val="single"/>
        </w:rPr>
      </w:pPr>
      <w:r>
        <w:rPr>
          <w:rFonts w:hint="eastAsia" w:ascii="仿宋" w:hAnsi="仿宋" w:eastAsia="仿宋" w:cs="仿宋"/>
          <w:snapToGrid w:val="0"/>
          <w:kern w:val="0"/>
          <w:sz w:val="24"/>
          <w:szCs w:val="24"/>
          <w:highlight w:val="none"/>
        </w:rPr>
        <w:t>鉴于甲方委托乙方就</w:t>
      </w:r>
      <w:r>
        <w:rPr>
          <w:rFonts w:hint="eastAsia" w:ascii="仿宋" w:hAnsi="仿宋" w:eastAsia="仿宋" w:cs="仿宋"/>
          <w:snapToGrid w:val="0"/>
          <w:kern w:val="0"/>
          <w:sz w:val="24"/>
          <w:szCs w:val="24"/>
          <w:highlight w:val="none"/>
          <w:u w:val="single"/>
          <w:lang w:val="en-US" w:eastAsia="zh-CN"/>
        </w:rPr>
        <w:t>巴州温和水电开发有限公司所属的莫呼察汗干渠一二级水电站</w:t>
      </w:r>
      <w:r>
        <w:rPr>
          <w:rFonts w:hint="eastAsia" w:ascii="仿宋" w:hAnsi="仿宋" w:eastAsia="仿宋" w:cs="仿宋"/>
          <w:snapToGrid w:val="0"/>
          <w:kern w:val="0"/>
          <w:sz w:val="24"/>
          <w:szCs w:val="24"/>
          <w:highlight w:val="none"/>
          <w:u w:val="single"/>
        </w:rPr>
        <w:t>项目涉网试验技术服务</w:t>
      </w:r>
      <w:r>
        <w:rPr>
          <w:rFonts w:hint="eastAsia" w:ascii="仿宋" w:hAnsi="仿宋" w:eastAsia="仿宋" w:cs="仿宋"/>
          <w:snapToGrid w:val="0"/>
          <w:kern w:val="0"/>
          <w:sz w:val="24"/>
          <w:szCs w:val="24"/>
          <w:highlight w:val="none"/>
        </w:rPr>
        <w:t>项目进行的专项技术服务，并支付相应的技术服务报酬。为明确各自的权利和义务，双方经过平等协商，根据《中华人民共和国民法典》等有关法律法规的规定，订立本合同。</w:t>
      </w:r>
    </w:p>
    <w:p w14:paraId="0686552F">
      <w:pPr>
        <w:widowControl/>
        <w:spacing w:line="360" w:lineRule="auto"/>
        <w:jc w:val="left"/>
        <w:rPr>
          <w:rFonts w:hint="eastAsia" w:ascii="仿宋" w:hAnsi="仿宋" w:eastAsia="仿宋" w:cs="仿宋"/>
          <w:b/>
          <w:bCs/>
          <w:snapToGrid w:val="0"/>
          <w:kern w:val="0"/>
          <w:sz w:val="28"/>
          <w:szCs w:val="28"/>
          <w:highlight w:val="none"/>
        </w:rPr>
      </w:pPr>
      <w:bookmarkStart w:id="2" w:name="_Toc363053358"/>
      <w:r>
        <w:rPr>
          <w:rFonts w:hint="eastAsia" w:ascii="仿宋" w:hAnsi="仿宋" w:eastAsia="仿宋" w:cs="仿宋"/>
          <w:b/>
          <w:bCs/>
          <w:snapToGrid w:val="0"/>
          <w:kern w:val="0"/>
          <w:sz w:val="28"/>
          <w:szCs w:val="28"/>
          <w:highlight w:val="none"/>
          <w:lang w:val="en-US" w:eastAsia="zh-CN"/>
        </w:rPr>
        <w:t>一、</w:t>
      </w:r>
      <w:r>
        <w:rPr>
          <w:rFonts w:hint="eastAsia" w:ascii="仿宋" w:hAnsi="仿宋" w:eastAsia="仿宋" w:cs="仿宋"/>
          <w:b/>
          <w:bCs/>
          <w:snapToGrid w:val="0"/>
          <w:kern w:val="0"/>
          <w:sz w:val="28"/>
          <w:szCs w:val="28"/>
          <w:highlight w:val="none"/>
        </w:rPr>
        <w:t>技术服务项目概要</w:t>
      </w:r>
      <w:bookmarkEnd w:id="2"/>
      <w:r>
        <w:rPr>
          <w:rFonts w:hint="eastAsia" w:ascii="仿宋" w:hAnsi="仿宋" w:eastAsia="仿宋" w:cs="仿宋"/>
          <w:b/>
          <w:bCs/>
          <w:snapToGrid w:val="0"/>
          <w:kern w:val="0"/>
          <w:sz w:val="28"/>
          <w:szCs w:val="28"/>
          <w:highlight w:val="none"/>
        </w:rPr>
        <w:t xml:space="preserve"> </w:t>
      </w:r>
    </w:p>
    <w:p w14:paraId="42B69ED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1.1技术服务的目标：</w:t>
      </w:r>
      <w:r>
        <w:rPr>
          <w:rFonts w:hint="eastAsia" w:ascii="仿宋" w:hAnsi="仿宋" w:eastAsia="仿宋" w:cs="仿宋"/>
          <w:snapToGrid w:val="0"/>
          <w:kern w:val="0"/>
          <w:sz w:val="24"/>
          <w:szCs w:val="24"/>
          <w:highlight w:val="none"/>
          <w:u w:val="single"/>
        </w:rPr>
        <w:t xml:space="preserve"> 完成</w:t>
      </w:r>
      <w:r>
        <w:rPr>
          <w:rFonts w:hint="eastAsia" w:ascii="仿宋" w:hAnsi="仿宋" w:eastAsia="仿宋" w:cs="仿宋"/>
          <w:snapToGrid w:val="0"/>
          <w:kern w:val="0"/>
          <w:sz w:val="24"/>
          <w:szCs w:val="24"/>
          <w:highlight w:val="none"/>
          <w:u w:val="single"/>
          <w:lang w:val="en-US" w:eastAsia="zh-CN"/>
        </w:rPr>
        <w:t>巴州温和水电开发有限公司所属的莫呼察汗干渠一二级水电站</w:t>
      </w:r>
      <w:r>
        <w:rPr>
          <w:rFonts w:hint="eastAsia" w:ascii="仿宋" w:hAnsi="仿宋" w:eastAsia="仿宋" w:cs="仿宋"/>
          <w:snapToGrid w:val="0"/>
          <w:kern w:val="0"/>
          <w:sz w:val="24"/>
          <w:szCs w:val="24"/>
          <w:highlight w:val="none"/>
          <w:u w:val="single"/>
        </w:rPr>
        <w:t>项目机组涉网性能实验复测工作</w:t>
      </w:r>
      <w:r>
        <w:rPr>
          <w:rFonts w:hint="eastAsia" w:ascii="仿宋" w:hAnsi="仿宋" w:eastAsia="仿宋" w:cs="仿宋"/>
          <w:snapToGrid w:val="0"/>
          <w:kern w:val="0"/>
          <w:sz w:val="24"/>
          <w:szCs w:val="24"/>
          <w:highlight w:val="none"/>
        </w:rPr>
        <w:t>。</w:t>
      </w:r>
    </w:p>
    <w:p w14:paraId="76B8EAD5">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1.2技术服务的内容：</w:t>
      </w:r>
    </w:p>
    <w:p w14:paraId="01765705">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1.2.1  发电机组振动区测试</w:t>
      </w:r>
      <w:r>
        <w:rPr>
          <w:rFonts w:hint="eastAsia" w:ascii="仿宋" w:hAnsi="仿宋" w:eastAsia="仿宋" w:cs="仿宋"/>
          <w:snapToGrid w:val="0"/>
          <w:kern w:val="0"/>
          <w:sz w:val="24"/>
          <w:szCs w:val="24"/>
          <w:highlight w:val="none"/>
          <w:lang w:val="en-US" w:eastAsia="zh-CN"/>
        </w:rPr>
        <w:t>和</w:t>
      </w:r>
      <w:r>
        <w:rPr>
          <w:rFonts w:hint="eastAsia" w:ascii="仿宋" w:hAnsi="仿宋" w:eastAsia="仿宋" w:cs="仿宋"/>
          <w:snapToGrid w:val="0"/>
          <w:kern w:val="0"/>
          <w:sz w:val="24"/>
          <w:szCs w:val="24"/>
          <w:highlight w:val="none"/>
        </w:rPr>
        <w:t>发电机组进相试验</w:t>
      </w:r>
    </w:p>
    <w:p w14:paraId="77AC5EC0">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1.3技术服务的方式：</w:t>
      </w:r>
      <w:r>
        <w:rPr>
          <w:rFonts w:hint="eastAsia" w:ascii="仿宋" w:hAnsi="仿宋" w:eastAsia="仿宋" w:cs="仿宋"/>
          <w:snapToGrid w:val="0"/>
          <w:kern w:val="0"/>
          <w:sz w:val="24"/>
          <w:szCs w:val="24"/>
          <w:highlight w:val="none"/>
          <w:u w:val="single"/>
        </w:rPr>
        <w:t xml:space="preserve"> 完成现场技术服务并出具报告 </w:t>
      </w:r>
      <w:r>
        <w:rPr>
          <w:rFonts w:hint="eastAsia" w:ascii="仿宋" w:hAnsi="仿宋" w:eastAsia="仿宋" w:cs="仿宋"/>
          <w:snapToGrid w:val="0"/>
          <w:kern w:val="0"/>
          <w:sz w:val="24"/>
          <w:szCs w:val="24"/>
          <w:highlight w:val="none"/>
        </w:rPr>
        <w:t>。</w:t>
      </w:r>
    </w:p>
    <w:p w14:paraId="186D7172">
      <w:pPr>
        <w:widowControl/>
        <w:spacing w:line="360" w:lineRule="auto"/>
        <w:jc w:val="left"/>
        <w:rPr>
          <w:rFonts w:hint="eastAsia" w:ascii="仿宋" w:hAnsi="仿宋" w:eastAsia="仿宋" w:cs="仿宋"/>
          <w:b/>
          <w:bCs/>
          <w:snapToGrid w:val="0"/>
          <w:kern w:val="0"/>
          <w:sz w:val="28"/>
          <w:szCs w:val="28"/>
          <w:highlight w:val="none"/>
        </w:rPr>
      </w:pPr>
      <w:bookmarkStart w:id="3" w:name="_Toc363053359"/>
      <w:r>
        <w:rPr>
          <w:rFonts w:hint="eastAsia" w:ascii="仿宋" w:hAnsi="仿宋" w:eastAsia="仿宋" w:cs="仿宋"/>
          <w:b/>
          <w:bCs/>
          <w:snapToGrid w:val="0"/>
          <w:kern w:val="0"/>
          <w:sz w:val="28"/>
          <w:szCs w:val="28"/>
          <w:highlight w:val="none"/>
          <w:lang w:val="en-US" w:eastAsia="zh-CN"/>
        </w:rPr>
        <w:t>二、</w:t>
      </w:r>
      <w:r>
        <w:rPr>
          <w:rFonts w:hint="eastAsia" w:ascii="仿宋" w:hAnsi="仿宋" w:eastAsia="仿宋" w:cs="仿宋"/>
          <w:b/>
          <w:bCs/>
          <w:snapToGrid w:val="0"/>
          <w:kern w:val="0"/>
          <w:sz w:val="28"/>
          <w:szCs w:val="28"/>
          <w:highlight w:val="none"/>
        </w:rPr>
        <w:t>技术服务具体要求</w:t>
      </w:r>
      <w:bookmarkEnd w:id="3"/>
    </w:p>
    <w:p w14:paraId="484A38D5">
      <w:pPr>
        <w:widowControl/>
        <w:spacing w:line="360" w:lineRule="auto"/>
        <w:ind w:firstLine="424" w:firstLineChars="177"/>
        <w:jc w:val="left"/>
        <w:rPr>
          <w:rFonts w:hint="eastAsia" w:ascii="仿宋" w:hAnsi="仿宋" w:eastAsia="仿宋" w:cs="仿宋"/>
          <w:snapToGrid w:val="0"/>
          <w:kern w:val="0"/>
          <w:sz w:val="24"/>
          <w:szCs w:val="24"/>
          <w:highlight w:val="none"/>
          <w:u w:val="single"/>
        </w:rPr>
      </w:pPr>
      <w:r>
        <w:rPr>
          <w:rFonts w:hint="eastAsia" w:ascii="仿宋" w:hAnsi="仿宋" w:eastAsia="仿宋" w:cs="仿宋"/>
          <w:snapToGrid w:val="0"/>
          <w:kern w:val="0"/>
          <w:sz w:val="24"/>
          <w:szCs w:val="24"/>
          <w:highlight w:val="none"/>
        </w:rPr>
        <w:t>2.1技术服务地点：</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u w:val="single"/>
          <w:lang w:val="en-US" w:eastAsia="zh-CN"/>
        </w:rPr>
        <w:t>莫呼察汗干渠一二级水电站</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rPr>
        <w:t>。</w:t>
      </w:r>
    </w:p>
    <w:p w14:paraId="58BDA203">
      <w:pPr>
        <w:widowControl/>
        <w:spacing w:line="360" w:lineRule="auto"/>
        <w:ind w:firstLine="424" w:firstLineChars="177"/>
        <w:jc w:val="left"/>
        <w:rPr>
          <w:rFonts w:hint="eastAsia" w:ascii="仿宋" w:hAnsi="仿宋" w:eastAsia="仿宋" w:cs="仿宋"/>
          <w:snapToGrid w:val="0"/>
          <w:kern w:val="0"/>
          <w:sz w:val="24"/>
          <w:szCs w:val="24"/>
          <w:highlight w:val="none"/>
          <w:u w:val="single"/>
        </w:rPr>
      </w:pPr>
      <w:r>
        <w:rPr>
          <w:rFonts w:hint="eastAsia" w:ascii="仿宋" w:hAnsi="仿宋" w:eastAsia="仿宋" w:cs="仿宋"/>
          <w:snapToGrid w:val="0"/>
          <w:kern w:val="0"/>
          <w:sz w:val="24"/>
          <w:szCs w:val="24"/>
          <w:highlight w:val="none"/>
        </w:rPr>
        <w:t>2.2技术服务期限：</w:t>
      </w:r>
      <w:r>
        <w:rPr>
          <w:rFonts w:hint="eastAsia" w:ascii="仿宋" w:hAnsi="仿宋" w:eastAsia="仿宋" w:cs="仿宋"/>
          <w:snapToGrid w:val="0"/>
          <w:kern w:val="0"/>
          <w:sz w:val="24"/>
          <w:szCs w:val="24"/>
          <w:highlight w:val="none"/>
          <w:u w:val="single"/>
        </w:rPr>
        <w:t xml:space="preserve">合同签订之日起至2024年12月31日为止（可根据实际情况进行调整） </w:t>
      </w:r>
      <w:r>
        <w:rPr>
          <w:rFonts w:hint="eastAsia" w:ascii="仿宋" w:hAnsi="仿宋" w:eastAsia="仿宋" w:cs="仿宋"/>
          <w:snapToGrid w:val="0"/>
          <w:kern w:val="0"/>
          <w:sz w:val="24"/>
          <w:szCs w:val="24"/>
          <w:highlight w:val="none"/>
        </w:rPr>
        <w:t>。</w:t>
      </w:r>
    </w:p>
    <w:p w14:paraId="5DB2FC14">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2.3技术服务</w:t>
      </w:r>
      <w:r>
        <w:rPr>
          <w:rFonts w:hint="eastAsia" w:ascii="仿宋" w:hAnsi="仿宋" w:eastAsia="仿宋" w:cs="仿宋"/>
          <w:snapToGrid w:val="0"/>
          <w:kern w:val="0"/>
          <w:sz w:val="24"/>
          <w:szCs w:val="24"/>
          <w:highlight w:val="none"/>
          <w:lang w:val="en-US" w:eastAsia="zh-CN"/>
        </w:rPr>
        <w:t>时间</w:t>
      </w:r>
      <w:r>
        <w:rPr>
          <w:rFonts w:hint="eastAsia" w:ascii="仿宋" w:hAnsi="仿宋" w:eastAsia="仿宋" w:cs="仿宋"/>
          <w:snapToGrid w:val="0"/>
          <w:kern w:val="0"/>
          <w:sz w:val="24"/>
          <w:szCs w:val="24"/>
          <w:highlight w:val="none"/>
        </w:rPr>
        <w:t>：</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u w:val="single"/>
          <w:lang w:val="en-US" w:eastAsia="zh-CN"/>
        </w:rPr>
        <w:t>以甲方通知进场时间为准</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rPr>
        <w:t>。</w:t>
      </w:r>
    </w:p>
    <w:p w14:paraId="14701018">
      <w:pPr>
        <w:widowControl/>
        <w:spacing w:line="360" w:lineRule="auto"/>
        <w:ind w:firstLine="424" w:firstLineChars="177"/>
        <w:jc w:val="left"/>
        <w:rPr>
          <w:rFonts w:hint="eastAsia" w:ascii="仿宋" w:hAnsi="仿宋" w:eastAsia="仿宋" w:cs="仿宋"/>
          <w:snapToGrid w:val="0"/>
          <w:kern w:val="0"/>
          <w:sz w:val="24"/>
          <w:szCs w:val="24"/>
          <w:highlight w:val="none"/>
          <w:u w:val="single"/>
        </w:rPr>
      </w:pPr>
      <w:r>
        <w:rPr>
          <w:rFonts w:hint="eastAsia" w:ascii="仿宋" w:hAnsi="仿宋" w:eastAsia="仿宋" w:cs="仿宋"/>
          <w:snapToGrid w:val="0"/>
          <w:kern w:val="0"/>
          <w:sz w:val="24"/>
          <w:szCs w:val="24"/>
          <w:highlight w:val="none"/>
        </w:rPr>
        <w:t>2.4技术服务质量要求：</w:t>
      </w:r>
      <w:r>
        <w:rPr>
          <w:rFonts w:hint="eastAsia" w:ascii="仿宋" w:hAnsi="仿宋" w:eastAsia="仿宋" w:cs="仿宋"/>
          <w:snapToGrid w:val="0"/>
          <w:kern w:val="0"/>
          <w:sz w:val="24"/>
          <w:szCs w:val="24"/>
          <w:highlight w:val="none"/>
          <w:u w:val="single"/>
        </w:rPr>
        <w:t xml:space="preserve">  参照相关规程规定，并通过相关验收 </w:t>
      </w:r>
      <w:r>
        <w:rPr>
          <w:rFonts w:hint="eastAsia" w:ascii="仿宋" w:hAnsi="仿宋" w:eastAsia="仿宋" w:cs="仿宋"/>
          <w:snapToGrid w:val="0"/>
          <w:kern w:val="0"/>
          <w:sz w:val="24"/>
          <w:szCs w:val="24"/>
          <w:highlight w:val="none"/>
        </w:rPr>
        <w:t>。</w:t>
      </w:r>
    </w:p>
    <w:p w14:paraId="0B3AA42A">
      <w:pPr>
        <w:widowControl/>
        <w:spacing w:line="360" w:lineRule="auto"/>
        <w:jc w:val="left"/>
        <w:rPr>
          <w:rFonts w:hint="eastAsia" w:ascii="仿宋" w:hAnsi="仿宋" w:eastAsia="仿宋" w:cs="仿宋"/>
          <w:b/>
          <w:bCs/>
          <w:snapToGrid w:val="0"/>
          <w:kern w:val="0"/>
          <w:sz w:val="28"/>
          <w:szCs w:val="28"/>
          <w:highlight w:val="none"/>
        </w:rPr>
      </w:pPr>
      <w:bookmarkStart w:id="4" w:name="_Toc363053360"/>
      <w:r>
        <w:rPr>
          <w:rFonts w:hint="eastAsia" w:ascii="仿宋" w:hAnsi="仿宋" w:eastAsia="仿宋" w:cs="仿宋"/>
          <w:b/>
          <w:bCs/>
          <w:snapToGrid w:val="0"/>
          <w:kern w:val="0"/>
          <w:sz w:val="28"/>
          <w:szCs w:val="28"/>
          <w:highlight w:val="none"/>
          <w:lang w:val="en-US" w:eastAsia="zh-CN"/>
        </w:rPr>
        <w:t>三、</w:t>
      </w:r>
      <w:r>
        <w:rPr>
          <w:rFonts w:hint="eastAsia" w:ascii="仿宋" w:hAnsi="仿宋" w:eastAsia="仿宋" w:cs="仿宋"/>
          <w:b/>
          <w:bCs/>
          <w:snapToGrid w:val="0"/>
          <w:kern w:val="0"/>
          <w:sz w:val="28"/>
          <w:szCs w:val="28"/>
          <w:highlight w:val="none"/>
        </w:rPr>
        <w:t>甲方提供的工作条件及协作事项</w:t>
      </w:r>
      <w:bookmarkEnd w:id="4"/>
    </w:p>
    <w:p w14:paraId="0B7829B8">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3.1提供的工作条件：</w:t>
      </w:r>
    </w:p>
    <w:p w14:paraId="41AA12CB">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w:t>
      </w:r>
      <w:r>
        <w:rPr>
          <w:rFonts w:hint="eastAsia" w:ascii="仿宋" w:hAnsi="仿宋" w:eastAsia="仿宋" w:cs="仿宋"/>
          <w:snapToGrid w:val="0"/>
          <w:kern w:val="0"/>
          <w:sz w:val="24"/>
          <w:szCs w:val="24"/>
          <w:highlight w:val="none"/>
          <w:u w:val="single"/>
        </w:rPr>
        <w:t xml:space="preserve">  根据乙方要求完成并网前的现场准备    </w:t>
      </w:r>
      <w:r>
        <w:rPr>
          <w:rFonts w:hint="eastAsia" w:ascii="仿宋" w:hAnsi="仿宋" w:eastAsia="仿宋" w:cs="仿宋"/>
          <w:snapToGrid w:val="0"/>
          <w:kern w:val="0"/>
          <w:sz w:val="24"/>
          <w:szCs w:val="24"/>
          <w:highlight w:val="none"/>
        </w:rPr>
        <w:t xml:space="preserve"> </w:t>
      </w:r>
    </w:p>
    <w:p w14:paraId="7D7D2B2D">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（2）</w:t>
      </w:r>
      <w:r>
        <w:rPr>
          <w:rFonts w:hint="eastAsia" w:ascii="仿宋" w:hAnsi="仿宋" w:eastAsia="仿宋" w:cs="仿宋"/>
          <w:snapToGrid w:val="0"/>
          <w:kern w:val="0"/>
          <w:sz w:val="24"/>
          <w:szCs w:val="24"/>
          <w:highlight w:val="none"/>
          <w:u w:val="single"/>
        </w:rPr>
        <w:t xml:space="preserve">                 /                    </w:t>
      </w:r>
      <w:r>
        <w:rPr>
          <w:rFonts w:hint="eastAsia" w:ascii="仿宋" w:hAnsi="仿宋" w:eastAsia="仿宋" w:cs="仿宋"/>
          <w:snapToGrid w:val="0"/>
          <w:kern w:val="0"/>
          <w:sz w:val="24"/>
          <w:szCs w:val="24"/>
          <w:highlight w:val="none"/>
        </w:rPr>
        <w:t>。</w:t>
      </w:r>
    </w:p>
    <w:p w14:paraId="67DAF32C">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3.2提供的技术资料：</w:t>
      </w:r>
    </w:p>
    <w:p w14:paraId="5D06D033">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w:t>
      </w:r>
      <w:r>
        <w:rPr>
          <w:rFonts w:hint="eastAsia" w:ascii="仿宋" w:hAnsi="仿宋" w:eastAsia="仿宋" w:cs="仿宋"/>
          <w:snapToGrid w:val="0"/>
          <w:kern w:val="0"/>
          <w:sz w:val="24"/>
          <w:szCs w:val="24"/>
          <w:highlight w:val="none"/>
          <w:u w:val="single"/>
        </w:rPr>
        <w:t xml:space="preserve">  根据乙方要求准备相关技术资料                 </w:t>
      </w:r>
      <w:r>
        <w:rPr>
          <w:rFonts w:hint="eastAsia" w:ascii="仿宋" w:hAnsi="仿宋" w:eastAsia="仿宋" w:cs="仿宋"/>
          <w:snapToGrid w:val="0"/>
          <w:kern w:val="0"/>
          <w:sz w:val="24"/>
          <w:szCs w:val="24"/>
          <w:highlight w:val="none"/>
        </w:rPr>
        <w:t>；</w:t>
      </w:r>
    </w:p>
    <w:p w14:paraId="7854E005">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（2）</w:t>
      </w:r>
      <w:r>
        <w:rPr>
          <w:rFonts w:hint="eastAsia" w:ascii="仿宋" w:hAnsi="仿宋" w:eastAsia="仿宋" w:cs="仿宋"/>
          <w:snapToGrid w:val="0"/>
          <w:kern w:val="0"/>
          <w:sz w:val="24"/>
          <w:szCs w:val="24"/>
          <w:highlight w:val="none"/>
          <w:u w:val="single"/>
        </w:rPr>
        <w:t xml:space="preserve">                      /                         </w:t>
      </w:r>
      <w:r>
        <w:rPr>
          <w:rFonts w:hint="eastAsia" w:ascii="仿宋" w:hAnsi="仿宋" w:eastAsia="仿宋" w:cs="仿宋"/>
          <w:snapToGrid w:val="0"/>
          <w:kern w:val="0"/>
          <w:sz w:val="24"/>
          <w:szCs w:val="24"/>
          <w:highlight w:val="none"/>
        </w:rPr>
        <w:t>。</w:t>
      </w:r>
    </w:p>
    <w:p w14:paraId="5CA732D4">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u w:val="single"/>
        </w:rPr>
      </w:pPr>
      <w:r>
        <w:rPr>
          <w:rFonts w:hint="eastAsia" w:ascii="仿宋" w:hAnsi="仿宋" w:eastAsia="仿宋" w:cs="仿宋"/>
          <w:snapToGrid w:val="0"/>
          <w:kern w:val="0"/>
          <w:sz w:val="24"/>
          <w:szCs w:val="24"/>
          <w:highlight w:val="none"/>
        </w:rPr>
        <w:t>3.3其他：</w:t>
      </w:r>
      <w:r>
        <w:rPr>
          <w:rFonts w:hint="eastAsia" w:ascii="仿宋" w:hAnsi="仿宋" w:eastAsia="仿宋" w:cs="仿宋"/>
          <w:snapToGrid w:val="0"/>
          <w:kern w:val="0"/>
          <w:sz w:val="24"/>
          <w:szCs w:val="24"/>
          <w:highlight w:val="none"/>
          <w:u w:val="single"/>
        </w:rPr>
        <w:t xml:space="preserve">                  /                         </w:t>
      </w:r>
      <w:r>
        <w:rPr>
          <w:rFonts w:hint="eastAsia" w:ascii="仿宋" w:hAnsi="仿宋" w:eastAsia="仿宋" w:cs="仿宋"/>
          <w:snapToGrid w:val="0"/>
          <w:kern w:val="0"/>
          <w:sz w:val="24"/>
          <w:szCs w:val="24"/>
          <w:highlight w:val="none"/>
        </w:rPr>
        <w:t>。</w:t>
      </w:r>
    </w:p>
    <w:p w14:paraId="48C566C5">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3.4甲方提供上述工作条件和协作事项的时间及方式：</w:t>
      </w:r>
    </w:p>
    <w:p w14:paraId="5BEC9F1F">
      <w:pPr>
        <w:widowControl/>
        <w:tabs>
          <w:tab w:val="left" w:pos="90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u w:val="single"/>
        </w:rPr>
        <w:t xml:space="preserve">            /               </w:t>
      </w:r>
      <w:r>
        <w:rPr>
          <w:rFonts w:hint="eastAsia" w:ascii="仿宋" w:hAnsi="仿宋" w:eastAsia="仿宋" w:cs="仿宋"/>
          <w:snapToGrid w:val="0"/>
          <w:kern w:val="0"/>
          <w:sz w:val="24"/>
          <w:szCs w:val="24"/>
          <w:highlight w:val="none"/>
        </w:rPr>
        <w:t>。</w:t>
      </w:r>
    </w:p>
    <w:p w14:paraId="7CCAA788">
      <w:pPr>
        <w:widowControl/>
        <w:spacing w:line="360" w:lineRule="auto"/>
        <w:jc w:val="left"/>
        <w:rPr>
          <w:rFonts w:hint="eastAsia" w:ascii="仿宋" w:hAnsi="仿宋" w:eastAsia="仿宋" w:cs="仿宋"/>
          <w:b/>
          <w:bCs/>
          <w:snapToGrid w:val="0"/>
          <w:kern w:val="0"/>
          <w:sz w:val="28"/>
          <w:szCs w:val="28"/>
          <w:highlight w:val="none"/>
        </w:rPr>
      </w:pPr>
      <w:bookmarkStart w:id="5" w:name="_Toc363053361"/>
      <w:r>
        <w:rPr>
          <w:rFonts w:hint="eastAsia" w:ascii="仿宋" w:hAnsi="仿宋" w:eastAsia="仿宋" w:cs="仿宋"/>
          <w:b/>
          <w:bCs/>
          <w:snapToGrid w:val="0"/>
          <w:kern w:val="0"/>
          <w:sz w:val="28"/>
          <w:szCs w:val="28"/>
          <w:highlight w:val="none"/>
          <w:lang w:val="en-US" w:eastAsia="zh-CN"/>
        </w:rPr>
        <w:t>四、</w:t>
      </w:r>
      <w:r>
        <w:rPr>
          <w:rFonts w:hint="eastAsia" w:ascii="仿宋" w:hAnsi="仿宋" w:eastAsia="仿宋" w:cs="仿宋"/>
          <w:b/>
          <w:bCs/>
          <w:snapToGrid w:val="0"/>
          <w:kern w:val="0"/>
          <w:sz w:val="28"/>
          <w:szCs w:val="28"/>
          <w:highlight w:val="none"/>
        </w:rPr>
        <w:t>组织与管理</w:t>
      </w:r>
      <w:bookmarkEnd w:id="5"/>
    </w:p>
    <w:p w14:paraId="53B6F1F6">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4.1在本合同有效期内，乙方应派出专业技术人员为甲方提供技术服务。技术服务人员名单见附件《技术服务人员表》。</w:t>
      </w:r>
    </w:p>
    <w:p w14:paraId="4A6FD3A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4.2本合同双方分别指定项目负责人如下：</w:t>
      </w:r>
    </w:p>
    <w:p w14:paraId="6E4480A1">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（1）甲方负责人</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u w:val="single"/>
          <w:lang w:val="en-US" w:eastAsia="zh-CN"/>
        </w:rPr>
        <w:t>张建</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rPr>
        <w:t>，电话</w:t>
      </w:r>
      <w:r>
        <w:rPr>
          <w:rFonts w:hint="eastAsia" w:ascii="仿宋" w:hAnsi="仿宋" w:eastAsia="仿宋" w:cs="仿宋"/>
          <w:snapToGrid w:val="0"/>
          <w:kern w:val="0"/>
          <w:sz w:val="24"/>
          <w:szCs w:val="24"/>
          <w:highlight w:val="none"/>
          <w:u w:val="single"/>
        </w:rPr>
        <w:t>：</w:t>
      </w:r>
      <w:r>
        <w:rPr>
          <w:rFonts w:hint="eastAsia" w:ascii="仿宋" w:hAnsi="仿宋" w:eastAsia="仿宋" w:cs="仿宋"/>
          <w:snapToGrid w:val="0"/>
          <w:kern w:val="0"/>
          <w:sz w:val="24"/>
          <w:szCs w:val="24"/>
          <w:highlight w:val="none"/>
          <w:u w:val="single"/>
          <w:lang w:val="en-US" w:eastAsia="zh-CN"/>
        </w:rPr>
        <w:t>13779797765</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rPr>
        <w:t>；</w:t>
      </w:r>
    </w:p>
    <w:p w14:paraId="6D7CFDCE">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（2）乙方负责人：</w:t>
      </w:r>
      <w:r>
        <w:rPr>
          <w:rFonts w:hint="eastAsia" w:ascii="仿宋" w:hAnsi="仿宋" w:eastAsia="仿宋" w:cs="仿宋"/>
          <w:snapToGrid w:val="0"/>
          <w:kern w:val="0"/>
          <w:sz w:val="24"/>
          <w:szCs w:val="24"/>
          <w:highlight w:val="none"/>
          <w:u w:val="single"/>
        </w:rPr>
        <w:t xml:space="preserve"> 押晓添 </w:t>
      </w:r>
      <w:r>
        <w:rPr>
          <w:rFonts w:hint="eastAsia" w:ascii="仿宋" w:hAnsi="仿宋" w:eastAsia="仿宋" w:cs="仿宋"/>
          <w:snapToGrid w:val="0"/>
          <w:kern w:val="0"/>
          <w:sz w:val="24"/>
          <w:szCs w:val="24"/>
          <w:highlight w:val="none"/>
        </w:rPr>
        <w:t>，电话：</w:t>
      </w:r>
      <w:r>
        <w:rPr>
          <w:rFonts w:hint="eastAsia" w:ascii="仿宋" w:hAnsi="仿宋" w:eastAsia="仿宋" w:cs="仿宋"/>
          <w:snapToGrid w:val="0"/>
          <w:kern w:val="0"/>
          <w:sz w:val="24"/>
          <w:szCs w:val="24"/>
          <w:highlight w:val="none"/>
          <w:u w:val="single"/>
        </w:rPr>
        <w:t xml:space="preserve"> 13629249295     </w:t>
      </w:r>
      <w:r>
        <w:rPr>
          <w:rFonts w:hint="eastAsia" w:ascii="仿宋" w:hAnsi="仿宋" w:eastAsia="仿宋" w:cs="仿宋"/>
          <w:snapToGrid w:val="0"/>
          <w:kern w:val="0"/>
          <w:sz w:val="24"/>
          <w:szCs w:val="24"/>
          <w:highlight w:val="none"/>
        </w:rPr>
        <w:t>。</w:t>
      </w:r>
    </w:p>
    <w:p w14:paraId="57EA2F95">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项目负责人的主要职责为：</w:t>
      </w:r>
    </w:p>
    <w:p w14:paraId="41C0274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（1）牵头组织本方技术服务工作；</w:t>
      </w:r>
    </w:p>
    <w:p w14:paraId="0D268CC3">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（2）负责组织协调合同的签订、履行；</w:t>
      </w:r>
    </w:p>
    <w:p w14:paraId="5876159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（3）负责跟踪或报告技术服务工作进展和成果；</w:t>
      </w:r>
    </w:p>
    <w:p w14:paraId="502E6E32">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（4）负责与另一方的沟通协调、信息传递等工作，为技术服务工作提供便利条件。</w:t>
      </w:r>
    </w:p>
    <w:p w14:paraId="3041695F">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4.3人员更换</w:t>
      </w:r>
    </w:p>
    <w:p w14:paraId="5DEA8676">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4.3.1一方变更项目负责人的，应当及时以书面形式通知另一方。</w:t>
      </w:r>
    </w:p>
    <w:p w14:paraId="7EA396F0">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4.3.2乙方更换其项目负责人与其他技术服务人员，须征得甲方书面同意。</w:t>
      </w:r>
    </w:p>
    <w:p w14:paraId="438B557B">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4.3.3甲方认为乙方工作人员不能胜任项目工作或玩忽职守的，有权要求乙方立即更换。上述被更换的人员无甲方另行批准不得重新参加本项目技术服务工作。</w:t>
      </w:r>
    </w:p>
    <w:p w14:paraId="28D637CD">
      <w:pPr>
        <w:widowControl/>
        <w:spacing w:line="360" w:lineRule="auto"/>
        <w:jc w:val="left"/>
        <w:rPr>
          <w:rFonts w:hint="eastAsia" w:ascii="仿宋" w:hAnsi="仿宋" w:eastAsia="仿宋" w:cs="仿宋"/>
          <w:b/>
          <w:bCs/>
          <w:snapToGrid w:val="0"/>
          <w:kern w:val="0"/>
          <w:sz w:val="28"/>
          <w:szCs w:val="28"/>
          <w:highlight w:val="none"/>
        </w:rPr>
      </w:pPr>
      <w:bookmarkStart w:id="6" w:name="_Toc363053362"/>
      <w:r>
        <w:rPr>
          <w:rFonts w:hint="eastAsia" w:ascii="仿宋" w:hAnsi="仿宋" w:eastAsia="仿宋" w:cs="仿宋"/>
          <w:b/>
          <w:bCs/>
          <w:snapToGrid w:val="0"/>
          <w:kern w:val="0"/>
          <w:sz w:val="28"/>
          <w:szCs w:val="28"/>
          <w:highlight w:val="none"/>
          <w:lang w:val="en-US" w:eastAsia="zh-CN"/>
        </w:rPr>
        <w:t>五、</w:t>
      </w:r>
      <w:r>
        <w:rPr>
          <w:rFonts w:hint="eastAsia" w:ascii="仿宋" w:hAnsi="仿宋" w:eastAsia="仿宋" w:cs="仿宋"/>
          <w:b/>
          <w:bCs/>
          <w:snapToGrid w:val="0"/>
          <w:kern w:val="0"/>
          <w:sz w:val="28"/>
          <w:szCs w:val="28"/>
          <w:highlight w:val="none"/>
        </w:rPr>
        <w:t>技术服务报酬及支付方式</w:t>
      </w:r>
      <w:bookmarkEnd w:id="6"/>
    </w:p>
    <w:p w14:paraId="25069402">
      <w:pPr>
        <w:keepNext w:val="0"/>
        <w:keepLines w:val="0"/>
        <w:pageBreakBefore w:val="0"/>
        <w:widowControl w:val="0"/>
        <w:kinsoku w:val="0"/>
        <w:wordWrap w:val="0"/>
        <w:overflowPunct w:val="0"/>
        <w:topLinePunct w:val="0"/>
        <w:autoSpaceDE/>
        <w:autoSpaceDN/>
        <w:bidi w:val="0"/>
        <w:adjustRightInd w:val="0"/>
        <w:snapToGrid w:val="0"/>
        <w:spacing w:line="360" w:lineRule="auto"/>
        <w:ind w:firstLine="480" w:firstLineChars="200"/>
        <w:jc w:val="both"/>
        <w:textAlignment w:val="baseline"/>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5.1技术服务报酬总额为：人民币（大写）</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u w:val="single"/>
          <w:lang w:val="en-US" w:eastAsia="zh-CN"/>
        </w:rPr>
        <w:t>肆拾贰万</w:t>
      </w:r>
      <w:r>
        <w:rPr>
          <w:rFonts w:hint="eastAsia" w:ascii="仿宋" w:hAnsi="仿宋" w:eastAsia="仿宋" w:cs="仿宋"/>
          <w:snapToGrid w:val="0"/>
          <w:kern w:val="0"/>
          <w:sz w:val="24"/>
          <w:szCs w:val="24"/>
          <w:highlight w:val="none"/>
          <w:u w:val="single"/>
        </w:rPr>
        <w:t xml:space="preserve">元整 </w:t>
      </w:r>
      <w:r>
        <w:rPr>
          <w:rFonts w:hint="eastAsia" w:ascii="仿宋" w:hAnsi="仿宋" w:eastAsia="仿宋" w:cs="仿宋"/>
          <w:snapToGrid w:val="0"/>
          <w:kern w:val="0"/>
          <w:sz w:val="24"/>
          <w:szCs w:val="24"/>
          <w:highlight w:val="none"/>
        </w:rPr>
        <w:t>（¥</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u w:val="single"/>
          <w:lang w:val="en-US" w:eastAsia="zh-CN"/>
        </w:rPr>
        <w:t>42</w:t>
      </w:r>
      <w:r>
        <w:rPr>
          <w:rFonts w:hint="eastAsia" w:ascii="仿宋" w:hAnsi="仿宋" w:eastAsia="仿宋" w:cs="仿宋"/>
          <w:snapToGrid w:val="0"/>
          <w:kern w:val="0"/>
          <w:sz w:val="24"/>
          <w:szCs w:val="24"/>
          <w:highlight w:val="none"/>
          <w:u w:val="single"/>
        </w:rPr>
        <w:t>0000</w:t>
      </w:r>
      <w:r>
        <w:rPr>
          <w:rFonts w:hint="eastAsia" w:ascii="仿宋" w:hAnsi="仿宋" w:eastAsia="仿宋" w:cs="仿宋"/>
          <w:snapToGrid w:val="0"/>
          <w:kern w:val="0"/>
          <w:sz w:val="24"/>
          <w:szCs w:val="24"/>
          <w:highlight w:val="none"/>
        </w:rPr>
        <w:t>）（含</w:t>
      </w:r>
      <w:r>
        <w:rPr>
          <w:rFonts w:hint="eastAsia" w:ascii="仿宋" w:hAnsi="仿宋" w:eastAsia="仿宋" w:cs="仿宋"/>
          <w:snapToGrid w:val="0"/>
          <w:kern w:val="0"/>
          <w:sz w:val="24"/>
          <w:szCs w:val="24"/>
          <w:highlight w:val="none"/>
          <w:lang w:val="en-US" w:eastAsia="zh-CN"/>
        </w:rPr>
        <w:t>6%普通</w:t>
      </w:r>
      <w:r>
        <w:rPr>
          <w:rFonts w:hint="eastAsia" w:ascii="仿宋" w:hAnsi="仿宋" w:eastAsia="仿宋" w:cs="仿宋"/>
          <w:snapToGrid w:val="0"/>
          <w:kern w:val="0"/>
          <w:sz w:val="24"/>
          <w:szCs w:val="24"/>
          <w:highlight w:val="none"/>
        </w:rPr>
        <w:t>发票）</w:t>
      </w:r>
      <w:r>
        <w:rPr>
          <w:rFonts w:hint="eastAsia" w:ascii="仿宋" w:hAnsi="仿宋" w:eastAsia="仿宋" w:cs="仿宋"/>
          <w:snapToGrid w:val="0"/>
          <w:kern w:val="0"/>
          <w:sz w:val="24"/>
          <w:szCs w:val="24"/>
          <w:highlight w:val="none"/>
          <w:lang w:eastAsia="zh-CN"/>
        </w:rPr>
        <w:t>，</w:t>
      </w:r>
      <w:r>
        <w:rPr>
          <w:rFonts w:hint="eastAsia" w:ascii="仿宋" w:hAnsi="仿宋" w:eastAsia="仿宋" w:cs="仿宋"/>
          <w:sz w:val="24"/>
          <w:szCs w:val="24"/>
          <w:highlight w:val="none"/>
          <w:lang w:val="en-US" w:eastAsia="zh-CN"/>
        </w:rPr>
        <w:t>其中</w:t>
      </w:r>
      <w:r>
        <w:rPr>
          <w:rFonts w:hint="eastAsia" w:ascii="仿宋" w:hAnsi="仿宋" w:eastAsia="仿宋" w:cs="仿宋"/>
          <w:sz w:val="24"/>
          <w:szCs w:val="24"/>
          <w:highlight w:val="none"/>
          <w:lang w:eastAsia="zh-CN"/>
        </w:rPr>
        <w:t>不含税价格396226</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lang w:eastAsia="zh-CN"/>
        </w:rPr>
        <w:t>41元，</w:t>
      </w:r>
      <w:r>
        <w:rPr>
          <w:rFonts w:hint="eastAsia" w:ascii="仿宋" w:hAnsi="仿宋" w:eastAsia="仿宋" w:cs="仿宋"/>
          <w:sz w:val="24"/>
          <w:szCs w:val="24"/>
          <w:highlight w:val="none"/>
          <w:lang w:val="en-US" w:eastAsia="zh-CN"/>
        </w:rPr>
        <w:t>税金23773.59元，</w:t>
      </w:r>
      <w:r>
        <w:rPr>
          <w:rFonts w:hint="eastAsia" w:ascii="仿宋" w:hAnsi="仿宋" w:eastAsia="仿宋" w:cs="仿宋"/>
          <w:sz w:val="24"/>
          <w:szCs w:val="24"/>
          <w:highlight w:val="none"/>
          <w:lang w:eastAsia="zh-CN"/>
        </w:rPr>
        <w:t>税率</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w:t>
      </w:r>
    </w:p>
    <w:p w14:paraId="43C223C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该报酬包含乙方履行本合同所需全部费用，包括但不限于员工工资、加班费、咨询费、资料费、交通费、食宿费以及税费等，不包含</w:t>
      </w:r>
      <w:r>
        <w:rPr>
          <w:rFonts w:hint="eastAsia" w:ascii="仿宋" w:hAnsi="仿宋" w:eastAsia="仿宋" w:cs="仿宋"/>
          <w:snapToGrid w:val="0"/>
          <w:kern w:val="0"/>
          <w:sz w:val="24"/>
          <w:szCs w:val="24"/>
          <w:highlight w:val="none"/>
          <w:lang w:val="en-US" w:eastAsia="zh-CN"/>
        </w:rPr>
        <w:t>设备原</w:t>
      </w:r>
      <w:r>
        <w:rPr>
          <w:rFonts w:hint="eastAsia" w:ascii="仿宋" w:hAnsi="仿宋" w:eastAsia="仿宋" w:cs="仿宋"/>
          <w:snapToGrid w:val="0"/>
          <w:kern w:val="0"/>
          <w:sz w:val="24"/>
          <w:szCs w:val="24"/>
          <w:highlight w:val="none"/>
        </w:rPr>
        <w:t>厂家服务费。</w:t>
      </w:r>
    </w:p>
    <w:p w14:paraId="28548C6B">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其中：</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376"/>
        <w:gridCol w:w="698"/>
        <w:gridCol w:w="698"/>
        <w:gridCol w:w="1662"/>
        <w:gridCol w:w="1662"/>
        <w:gridCol w:w="698"/>
      </w:tblGrid>
      <w:tr w14:paraId="170B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86E561D">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7C439ECE">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调试项目名称</w:t>
            </w:r>
          </w:p>
        </w:tc>
        <w:tc>
          <w:tcPr>
            <w:tcW w:w="0" w:type="auto"/>
            <w:tcBorders>
              <w:top w:val="single" w:color="auto" w:sz="4" w:space="0"/>
              <w:left w:val="single" w:color="auto" w:sz="4" w:space="0"/>
              <w:bottom w:val="single" w:color="auto" w:sz="4" w:space="0"/>
              <w:right w:val="single" w:color="auto" w:sz="4" w:space="0"/>
            </w:tcBorders>
            <w:vAlign w:val="center"/>
          </w:tcPr>
          <w:p w14:paraId="2C4DA820">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单位</w:t>
            </w:r>
          </w:p>
        </w:tc>
        <w:tc>
          <w:tcPr>
            <w:tcW w:w="0" w:type="auto"/>
            <w:tcBorders>
              <w:top w:val="single" w:color="auto" w:sz="4" w:space="0"/>
              <w:left w:val="single" w:color="auto" w:sz="4" w:space="0"/>
              <w:bottom w:val="single" w:color="auto" w:sz="4" w:space="0"/>
              <w:right w:val="single" w:color="auto" w:sz="4" w:space="0"/>
            </w:tcBorders>
            <w:vAlign w:val="center"/>
          </w:tcPr>
          <w:p w14:paraId="03DD855D">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数量</w:t>
            </w:r>
          </w:p>
        </w:tc>
        <w:tc>
          <w:tcPr>
            <w:tcW w:w="0" w:type="auto"/>
            <w:tcBorders>
              <w:top w:val="single" w:color="auto" w:sz="4" w:space="0"/>
              <w:left w:val="single" w:color="auto" w:sz="4" w:space="0"/>
              <w:bottom w:val="single" w:color="auto" w:sz="4" w:space="0"/>
              <w:right w:val="single" w:color="auto" w:sz="4" w:space="0"/>
            </w:tcBorders>
            <w:vAlign w:val="center"/>
          </w:tcPr>
          <w:p w14:paraId="26134B4B">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单价（万元）</w:t>
            </w:r>
          </w:p>
        </w:tc>
        <w:tc>
          <w:tcPr>
            <w:tcW w:w="0" w:type="auto"/>
            <w:tcBorders>
              <w:top w:val="single" w:color="auto" w:sz="4" w:space="0"/>
              <w:left w:val="single" w:color="auto" w:sz="4" w:space="0"/>
              <w:bottom w:val="single" w:color="auto" w:sz="4" w:space="0"/>
              <w:right w:val="single" w:color="auto" w:sz="4" w:space="0"/>
            </w:tcBorders>
            <w:vAlign w:val="center"/>
          </w:tcPr>
          <w:p w14:paraId="55268396">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合价（万元）</w:t>
            </w:r>
          </w:p>
        </w:tc>
        <w:tc>
          <w:tcPr>
            <w:tcW w:w="0" w:type="auto"/>
            <w:tcBorders>
              <w:top w:val="single" w:color="auto" w:sz="4" w:space="0"/>
              <w:left w:val="single" w:color="auto" w:sz="4" w:space="0"/>
              <w:bottom w:val="single" w:color="auto" w:sz="4" w:space="0"/>
              <w:right w:val="single" w:color="auto" w:sz="4" w:space="0"/>
            </w:tcBorders>
            <w:vAlign w:val="center"/>
          </w:tcPr>
          <w:p w14:paraId="50C2C4D5">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备注</w:t>
            </w:r>
          </w:p>
        </w:tc>
      </w:tr>
      <w:tr w14:paraId="2F02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A4134DB">
            <w:pPr>
              <w:adjustRightInd w:val="0"/>
              <w:snapToGrid w:val="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一</w:t>
            </w:r>
          </w:p>
        </w:tc>
        <w:tc>
          <w:tcPr>
            <w:tcW w:w="0" w:type="auto"/>
            <w:tcBorders>
              <w:top w:val="single" w:color="auto" w:sz="4" w:space="0"/>
              <w:left w:val="single" w:color="auto" w:sz="4" w:space="0"/>
              <w:bottom w:val="single" w:color="auto" w:sz="4" w:space="0"/>
              <w:right w:val="single" w:color="auto" w:sz="4" w:space="0"/>
            </w:tcBorders>
            <w:vAlign w:val="center"/>
          </w:tcPr>
          <w:p w14:paraId="37550E3F">
            <w:pPr>
              <w:jc w:val="left"/>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发电机组</w:t>
            </w:r>
            <w:r>
              <w:rPr>
                <w:rFonts w:hint="eastAsia" w:ascii="仿宋" w:hAnsi="仿宋" w:eastAsia="仿宋" w:cs="仿宋"/>
                <w:b/>
                <w:sz w:val="24"/>
                <w:szCs w:val="24"/>
                <w:highlight w:val="none"/>
              </w:rPr>
              <w:t>涉网试验</w:t>
            </w:r>
          </w:p>
        </w:tc>
        <w:tc>
          <w:tcPr>
            <w:tcW w:w="0" w:type="auto"/>
            <w:tcBorders>
              <w:top w:val="single" w:color="auto" w:sz="4" w:space="0"/>
              <w:left w:val="single" w:color="auto" w:sz="4" w:space="0"/>
              <w:bottom w:val="single" w:color="auto" w:sz="4" w:space="0"/>
              <w:right w:val="single" w:color="auto" w:sz="4" w:space="0"/>
            </w:tcBorders>
            <w:vAlign w:val="center"/>
          </w:tcPr>
          <w:p w14:paraId="65190697">
            <w:pPr>
              <w:jc w:val="center"/>
              <w:rPr>
                <w:rFonts w:hint="eastAsia" w:ascii="仿宋" w:hAnsi="仿宋" w:eastAsia="仿宋" w:cs="仿宋"/>
                <w:b/>
                <w:color w:val="000000"/>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50CC7DF">
            <w:pPr>
              <w:jc w:val="center"/>
              <w:rPr>
                <w:rFonts w:hint="eastAsia" w:ascii="仿宋" w:hAnsi="仿宋" w:eastAsia="仿宋" w:cs="仿宋"/>
                <w:b/>
                <w:color w:val="000000"/>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6834ACD">
            <w:pPr>
              <w:jc w:val="center"/>
              <w:rPr>
                <w:rFonts w:hint="eastAsia" w:ascii="仿宋" w:hAnsi="仿宋" w:eastAsia="仿宋" w:cs="仿宋"/>
                <w:b/>
                <w:color w:val="000000"/>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474840D">
            <w:pPr>
              <w:jc w:val="center"/>
              <w:rPr>
                <w:rFonts w:hint="eastAsia" w:ascii="仿宋" w:hAnsi="仿宋" w:eastAsia="仿宋" w:cs="仿宋"/>
                <w:b/>
                <w:color w:val="000000"/>
                <w:sz w:val="24"/>
                <w:szCs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7BD558B">
            <w:pPr>
              <w:jc w:val="center"/>
              <w:rPr>
                <w:rFonts w:hint="eastAsia" w:ascii="仿宋" w:hAnsi="仿宋" w:eastAsia="仿宋" w:cs="仿宋"/>
                <w:b/>
                <w:color w:val="000000"/>
                <w:sz w:val="24"/>
                <w:szCs w:val="24"/>
                <w:highlight w:val="none"/>
              </w:rPr>
            </w:pPr>
          </w:p>
        </w:tc>
      </w:tr>
      <w:tr w14:paraId="4362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5D306B1">
            <w:pPr>
              <w:adjustRightInd w:val="0"/>
              <w:snapToGrid w:val="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14:paraId="6C0A11F3">
            <w:pPr>
              <w:widowControl/>
              <w:jc w:val="left"/>
              <w:textAlignment w:val="center"/>
              <w:rPr>
                <w:rFonts w:hint="eastAsia" w:ascii="仿宋" w:hAnsi="仿宋" w:eastAsia="仿宋" w:cs="仿宋"/>
                <w:bCs/>
                <w:color w:val="000000"/>
                <w:sz w:val="24"/>
                <w:szCs w:val="24"/>
                <w:highlight w:val="none"/>
              </w:rPr>
            </w:pPr>
            <w:r>
              <w:rPr>
                <w:rFonts w:hint="eastAsia" w:ascii="仿宋" w:hAnsi="仿宋" w:eastAsia="仿宋" w:cs="仿宋"/>
                <w:color w:val="000000"/>
                <w:kern w:val="0"/>
                <w:sz w:val="24"/>
                <w:szCs w:val="24"/>
                <w:highlight w:val="none"/>
                <w:lang w:bidi="ar"/>
              </w:rPr>
              <w:t>发电机组振动区测试</w:t>
            </w:r>
          </w:p>
        </w:tc>
        <w:tc>
          <w:tcPr>
            <w:tcW w:w="698" w:type="dxa"/>
            <w:tcBorders>
              <w:top w:val="single" w:color="auto" w:sz="4" w:space="0"/>
              <w:left w:val="single" w:color="auto" w:sz="4" w:space="0"/>
              <w:bottom w:val="single" w:color="auto" w:sz="4" w:space="0"/>
              <w:right w:val="single" w:color="auto" w:sz="4" w:space="0"/>
            </w:tcBorders>
            <w:vAlign w:val="center"/>
          </w:tcPr>
          <w:p w14:paraId="2E15E9DE">
            <w:pPr>
              <w:jc w:val="center"/>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台次</w:t>
            </w:r>
          </w:p>
        </w:tc>
        <w:tc>
          <w:tcPr>
            <w:tcW w:w="698" w:type="dxa"/>
            <w:tcBorders>
              <w:top w:val="single" w:color="auto" w:sz="4" w:space="0"/>
              <w:left w:val="single" w:color="auto" w:sz="4" w:space="0"/>
              <w:bottom w:val="single" w:color="auto" w:sz="4" w:space="0"/>
              <w:right w:val="single" w:color="auto" w:sz="4" w:space="0"/>
            </w:tcBorders>
            <w:vAlign w:val="center"/>
          </w:tcPr>
          <w:p w14:paraId="079F48E6">
            <w:pPr>
              <w:jc w:val="center"/>
              <w:rPr>
                <w:rFonts w:hint="eastAsia" w:ascii="仿宋" w:hAnsi="仿宋" w:eastAsia="仿宋" w:cs="仿宋"/>
                <w:bCs/>
                <w:color w:val="000000"/>
                <w:sz w:val="24"/>
                <w:szCs w:val="24"/>
                <w:highlight w:val="none"/>
                <w:lang w:eastAsia="zh-CN"/>
              </w:rPr>
            </w:pPr>
            <w:r>
              <w:rPr>
                <w:rFonts w:hint="eastAsia" w:ascii="仿宋" w:hAnsi="仿宋" w:eastAsia="仿宋" w:cs="仿宋"/>
                <w:bCs/>
                <w:color w:val="000000"/>
                <w:sz w:val="24"/>
                <w:szCs w:val="24"/>
                <w:highlight w:val="none"/>
                <w:lang w:val="en-US" w:eastAsia="zh-CN"/>
              </w:rPr>
              <w:t>4</w:t>
            </w:r>
          </w:p>
        </w:tc>
        <w:tc>
          <w:tcPr>
            <w:tcW w:w="1662" w:type="dxa"/>
            <w:tcBorders>
              <w:top w:val="single" w:color="auto" w:sz="4" w:space="0"/>
              <w:left w:val="single" w:color="auto" w:sz="4" w:space="0"/>
              <w:bottom w:val="single" w:color="auto" w:sz="4" w:space="0"/>
              <w:right w:val="single" w:color="auto" w:sz="4" w:space="0"/>
            </w:tcBorders>
            <w:vAlign w:val="center"/>
          </w:tcPr>
          <w:p w14:paraId="3ECB396C">
            <w:pPr>
              <w:jc w:val="center"/>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3.5</w:t>
            </w:r>
          </w:p>
        </w:tc>
        <w:tc>
          <w:tcPr>
            <w:tcW w:w="1662" w:type="dxa"/>
            <w:tcBorders>
              <w:top w:val="single" w:color="auto" w:sz="4" w:space="0"/>
              <w:left w:val="single" w:color="auto" w:sz="4" w:space="0"/>
              <w:bottom w:val="single" w:color="auto" w:sz="4" w:space="0"/>
              <w:right w:val="single" w:color="auto" w:sz="4" w:space="0"/>
            </w:tcBorders>
            <w:vAlign w:val="center"/>
          </w:tcPr>
          <w:p w14:paraId="746C55B7">
            <w:pPr>
              <w:jc w:val="center"/>
              <w:rPr>
                <w:rFonts w:hint="default" w:ascii="仿宋" w:hAnsi="仿宋" w:eastAsia="仿宋" w:cs="仿宋"/>
                <w:bCs/>
                <w:color w:val="000000"/>
                <w:sz w:val="24"/>
                <w:szCs w:val="24"/>
                <w:highlight w:val="none"/>
                <w:lang w:val="en-US" w:eastAsia="zh-CN"/>
              </w:rPr>
            </w:pPr>
            <w:r>
              <w:rPr>
                <w:rFonts w:hint="eastAsia" w:ascii="仿宋" w:hAnsi="仿宋" w:eastAsia="仿宋" w:cs="仿宋"/>
                <w:bCs/>
                <w:color w:val="000000"/>
                <w:sz w:val="24"/>
                <w:szCs w:val="24"/>
                <w:highlight w:val="none"/>
                <w:lang w:val="en-US" w:eastAsia="zh-CN"/>
              </w:rPr>
              <w:t>14</w:t>
            </w:r>
          </w:p>
        </w:tc>
        <w:tc>
          <w:tcPr>
            <w:tcW w:w="0" w:type="auto"/>
            <w:tcBorders>
              <w:top w:val="single" w:color="auto" w:sz="4" w:space="0"/>
              <w:left w:val="single" w:color="auto" w:sz="4" w:space="0"/>
              <w:bottom w:val="single" w:color="auto" w:sz="4" w:space="0"/>
              <w:right w:val="single" w:color="auto" w:sz="4" w:space="0"/>
            </w:tcBorders>
            <w:vAlign w:val="center"/>
          </w:tcPr>
          <w:p w14:paraId="73FE838E">
            <w:pPr>
              <w:jc w:val="center"/>
              <w:rPr>
                <w:rFonts w:hint="eastAsia" w:ascii="仿宋" w:hAnsi="仿宋" w:eastAsia="仿宋" w:cs="仿宋"/>
                <w:b/>
                <w:color w:val="000000"/>
                <w:sz w:val="24"/>
                <w:szCs w:val="24"/>
                <w:highlight w:val="none"/>
              </w:rPr>
            </w:pPr>
          </w:p>
        </w:tc>
      </w:tr>
      <w:tr w14:paraId="6488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05E27131">
            <w:pPr>
              <w:adjustRightInd w:val="0"/>
              <w:snapToGrid w:val="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2</w:t>
            </w:r>
          </w:p>
        </w:tc>
        <w:tc>
          <w:tcPr>
            <w:tcW w:w="2376" w:type="dxa"/>
            <w:tcBorders>
              <w:top w:val="single" w:color="auto" w:sz="4" w:space="0"/>
              <w:left w:val="single" w:color="auto" w:sz="4" w:space="0"/>
              <w:bottom w:val="single" w:color="auto" w:sz="4" w:space="0"/>
              <w:right w:val="single" w:color="auto" w:sz="4" w:space="0"/>
            </w:tcBorders>
            <w:vAlign w:val="center"/>
          </w:tcPr>
          <w:p w14:paraId="795B3277">
            <w:pPr>
              <w:widowControl/>
              <w:jc w:val="left"/>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发电机组进相试验</w:t>
            </w:r>
          </w:p>
        </w:tc>
        <w:tc>
          <w:tcPr>
            <w:tcW w:w="698" w:type="dxa"/>
            <w:tcBorders>
              <w:top w:val="single" w:color="auto" w:sz="4" w:space="0"/>
              <w:left w:val="single" w:color="auto" w:sz="4" w:space="0"/>
              <w:bottom w:val="single" w:color="auto" w:sz="4" w:space="0"/>
              <w:right w:val="single" w:color="auto" w:sz="4" w:space="0"/>
            </w:tcBorders>
            <w:vAlign w:val="center"/>
          </w:tcPr>
          <w:p w14:paraId="13ED3425">
            <w:pPr>
              <w:jc w:val="center"/>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台次</w:t>
            </w:r>
          </w:p>
        </w:tc>
        <w:tc>
          <w:tcPr>
            <w:tcW w:w="698" w:type="dxa"/>
            <w:tcBorders>
              <w:top w:val="single" w:color="auto" w:sz="4" w:space="0"/>
              <w:left w:val="single" w:color="auto" w:sz="4" w:space="0"/>
              <w:bottom w:val="single" w:color="auto" w:sz="4" w:space="0"/>
              <w:right w:val="single" w:color="auto" w:sz="4" w:space="0"/>
            </w:tcBorders>
            <w:vAlign w:val="center"/>
          </w:tcPr>
          <w:p w14:paraId="1D847ABA">
            <w:pPr>
              <w:jc w:val="center"/>
              <w:rPr>
                <w:rFonts w:hint="eastAsia" w:ascii="仿宋" w:hAnsi="仿宋" w:eastAsia="仿宋" w:cs="仿宋"/>
                <w:bCs/>
                <w:color w:val="000000"/>
                <w:sz w:val="24"/>
                <w:szCs w:val="24"/>
                <w:highlight w:val="none"/>
                <w:lang w:eastAsia="zh-CN"/>
              </w:rPr>
            </w:pPr>
            <w:r>
              <w:rPr>
                <w:rFonts w:hint="eastAsia" w:ascii="仿宋" w:hAnsi="仿宋" w:eastAsia="仿宋" w:cs="仿宋"/>
                <w:bCs/>
                <w:color w:val="000000"/>
                <w:sz w:val="24"/>
                <w:szCs w:val="24"/>
                <w:highlight w:val="none"/>
                <w:lang w:val="en-US" w:eastAsia="zh-CN"/>
              </w:rPr>
              <w:t>4</w:t>
            </w:r>
          </w:p>
        </w:tc>
        <w:tc>
          <w:tcPr>
            <w:tcW w:w="1662" w:type="dxa"/>
            <w:tcBorders>
              <w:top w:val="single" w:color="auto" w:sz="4" w:space="0"/>
              <w:left w:val="single" w:color="auto" w:sz="4" w:space="0"/>
              <w:bottom w:val="single" w:color="auto" w:sz="4" w:space="0"/>
              <w:right w:val="single" w:color="auto" w:sz="4" w:space="0"/>
            </w:tcBorders>
            <w:vAlign w:val="center"/>
          </w:tcPr>
          <w:p w14:paraId="2B620C66">
            <w:pPr>
              <w:jc w:val="center"/>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4</w:t>
            </w:r>
          </w:p>
        </w:tc>
        <w:tc>
          <w:tcPr>
            <w:tcW w:w="1662" w:type="dxa"/>
            <w:tcBorders>
              <w:top w:val="single" w:color="auto" w:sz="4" w:space="0"/>
              <w:left w:val="single" w:color="auto" w:sz="4" w:space="0"/>
              <w:bottom w:val="single" w:color="auto" w:sz="4" w:space="0"/>
              <w:right w:val="single" w:color="auto" w:sz="4" w:space="0"/>
            </w:tcBorders>
            <w:vAlign w:val="center"/>
          </w:tcPr>
          <w:p w14:paraId="568CA5BA">
            <w:pPr>
              <w:jc w:val="center"/>
              <w:rPr>
                <w:rFonts w:hint="default" w:ascii="仿宋" w:hAnsi="仿宋" w:eastAsia="仿宋" w:cs="仿宋"/>
                <w:bCs/>
                <w:color w:val="000000"/>
                <w:sz w:val="24"/>
                <w:szCs w:val="24"/>
                <w:highlight w:val="none"/>
                <w:lang w:val="en-US" w:eastAsia="zh-CN"/>
              </w:rPr>
            </w:pPr>
            <w:r>
              <w:rPr>
                <w:rFonts w:hint="eastAsia" w:ascii="仿宋" w:hAnsi="仿宋" w:eastAsia="仿宋" w:cs="仿宋"/>
                <w:bCs/>
                <w:color w:val="000000"/>
                <w:sz w:val="24"/>
                <w:szCs w:val="24"/>
                <w:highlight w:val="none"/>
                <w:lang w:val="en-US" w:eastAsia="zh-CN"/>
              </w:rPr>
              <w:t>16</w:t>
            </w:r>
          </w:p>
        </w:tc>
        <w:tc>
          <w:tcPr>
            <w:tcW w:w="0" w:type="auto"/>
            <w:tcBorders>
              <w:top w:val="single" w:color="auto" w:sz="4" w:space="0"/>
              <w:left w:val="single" w:color="auto" w:sz="4" w:space="0"/>
              <w:bottom w:val="single" w:color="auto" w:sz="4" w:space="0"/>
              <w:right w:val="single" w:color="auto" w:sz="4" w:space="0"/>
            </w:tcBorders>
            <w:vAlign w:val="center"/>
          </w:tcPr>
          <w:p w14:paraId="4908E58B">
            <w:pPr>
              <w:jc w:val="center"/>
              <w:rPr>
                <w:rFonts w:hint="eastAsia" w:ascii="仿宋" w:hAnsi="仿宋" w:eastAsia="仿宋" w:cs="仿宋"/>
                <w:b/>
                <w:color w:val="000000"/>
                <w:sz w:val="24"/>
                <w:szCs w:val="24"/>
                <w:highlight w:val="none"/>
              </w:rPr>
            </w:pPr>
          </w:p>
        </w:tc>
      </w:tr>
      <w:tr w14:paraId="10DE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D541E87">
            <w:pPr>
              <w:adjustRightInd w:val="0"/>
              <w:snapToGrid w:val="0"/>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w:t>
            </w:r>
          </w:p>
        </w:tc>
        <w:tc>
          <w:tcPr>
            <w:tcW w:w="2376" w:type="dxa"/>
            <w:tcBorders>
              <w:top w:val="single" w:color="auto" w:sz="4" w:space="0"/>
              <w:left w:val="single" w:color="auto" w:sz="4" w:space="0"/>
              <w:bottom w:val="single" w:color="auto" w:sz="4" w:space="0"/>
              <w:right w:val="single" w:color="auto" w:sz="4" w:space="0"/>
            </w:tcBorders>
            <w:vAlign w:val="center"/>
          </w:tcPr>
          <w:p w14:paraId="684ABD7B">
            <w:pPr>
              <w:keepNext w:val="0"/>
              <w:keepLines w:val="0"/>
              <w:widowControl/>
              <w:suppressLineNumbers w:val="0"/>
              <w:jc w:val="left"/>
              <w:textAlignment w:val="center"/>
              <w:rPr>
                <w:rFonts w:hint="eastAsia" w:ascii="宋体" w:hAnsi="宋体" w:eastAsia="宋体" w:cs="宋体"/>
                <w:bCs/>
                <w:color w:val="000000"/>
                <w:kern w:val="2"/>
                <w:sz w:val="24"/>
                <w:szCs w:val="24"/>
                <w:highlight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一次调频试验</w:t>
            </w:r>
          </w:p>
        </w:tc>
        <w:tc>
          <w:tcPr>
            <w:tcW w:w="698" w:type="dxa"/>
            <w:tcBorders>
              <w:top w:val="single" w:color="auto" w:sz="4" w:space="0"/>
              <w:left w:val="single" w:color="auto" w:sz="4" w:space="0"/>
              <w:bottom w:val="single" w:color="auto" w:sz="4" w:space="0"/>
              <w:right w:val="single" w:color="auto" w:sz="4" w:space="0"/>
            </w:tcBorders>
            <w:vAlign w:val="center"/>
          </w:tcPr>
          <w:p w14:paraId="6D466119">
            <w:pPr>
              <w:jc w:val="center"/>
              <w:rPr>
                <w:rFonts w:hint="eastAsia" w:ascii="宋体" w:hAnsi="宋体" w:eastAsia="宋体" w:cs="宋体"/>
                <w:bCs/>
                <w:color w:val="000000"/>
                <w:kern w:val="2"/>
                <w:sz w:val="24"/>
                <w:szCs w:val="24"/>
                <w:highlight w:val="none"/>
                <w:lang w:val="en-US" w:eastAsia="zh-CN" w:bidi="ar-SA"/>
              </w:rPr>
            </w:pPr>
            <w:r>
              <w:rPr>
                <w:rFonts w:hint="eastAsia" w:ascii="仿宋" w:hAnsi="仿宋" w:eastAsia="仿宋" w:cs="仿宋"/>
                <w:b w:val="0"/>
                <w:bCs/>
                <w:color w:val="000000"/>
                <w:sz w:val="24"/>
                <w:szCs w:val="24"/>
                <w:highlight w:val="none"/>
                <w:lang w:eastAsia="zh-CN"/>
              </w:rPr>
              <w:t>台次</w:t>
            </w:r>
          </w:p>
        </w:tc>
        <w:tc>
          <w:tcPr>
            <w:tcW w:w="698" w:type="dxa"/>
            <w:tcBorders>
              <w:top w:val="single" w:color="auto" w:sz="4" w:space="0"/>
              <w:left w:val="single" w:color="auto" w:sz="4" w:space="0"/>
              <w:bottom w:val="single" w:color="auto" w:sz="4" w:space="0"/>
              <w:right w:val="single" w:color="auto" w:sz="4" w:space="0"/>
            </w:tcBorders>
            <w:vAlign w:val="center"/>
          </w:tcPr>
          <w:p w14:paraId="0E58B2FA">
            <w:pPr>
              <w:jc w:val="center"/>
              <w:rPr>
                <w:rFonts w:hint="eastAsia" w:ascii="宋体" w:hAnsi="宋体" w:eastAsia="宋体" w:cs="宋体"/>
                <w:bCs/>
                <w:color w:val="000000"/>
                <w:kern w:val="2"/>
                <w:sz w:val="24"/>
                <w:szCs w:val="24"/>
                <w:highlight w:val="none"/>
                <w:lang w:val="en-US" w:eastAsia="zh-CN" w:bidi="ar-SA"/>
              </w:rPr>
            </w:pPr>
            <w:r>
              <w:rPr>
                <w:rFonts w:hint="eastAsia" w:ascii="仿宋" w:hAnsi="仿宋" w:eastAsia="仿宋" w:cs="仿宋"/>
                <w:b w:val="0"/>
                <w:bCs/>
                <w:color w:val="000000"/>
                <w:sz w:val="24"/>
                <w:szCs w:val="24"/>
                <w:highlight w:val="none"/>
                <w:lang w:val="en-US" w:eastAsia="zh-CN"/>
              </w:rPr>
              <w:t>4</w:t>
            </w:r>
          </w:p>
        </w:tc>
        <w:tc>
          <w:tcPr>
            <w:tcW w:w="1662" w:type="dxa"/>
            <w:tcBorders>
              <w:top w:val="single" w:color="auto" w:sz="4" w:space="0"/>
              <w:left w:val="single" w:color="auto" w:sz="4" w:space="0"/>
              <w:bottom w:val="single" w:color="auto" w:sz="4" w:space="0"/>
              <w:right w:val="single" w:color="auto" w:sz="4" w:space="0"/>
            </w:tcBorders>
            <w:vAlign w:val="center"/>
          </w:tcPr>
          <w:p w14:paraId="550D4326">
            <w:pPr>
              <w:jc w:val="center"/>
              <w:rPr>
                <w:rFonts w:hint="eastAsia" w:ascii="宋体" w:hAnsi="宋体" w:eastAsia="宋体" w:cs="宋体"/>
                <w:bCs/>
                <w:color w:val="000000"/>
                <w:kern w:val="2"/>
                <w:sz w:val="24"/>
                <w:szCs w:val="24"/>
                <w:highlight w:val="none"/>
                <w:lang w:val="en-US" w:eastAsia="zh-CN" w:bidi="ar-SA"/>
              </w:rPr>
            </w:pPr>
            <w:r>
              <w:rPr>
                <w:rFonts w:hint="eastAsia" w:ascii="仿宋" w:hAnsi="仿宋" w:eastAsia="仿宋" w:cs="仿宋"/>
                <w:b w:val="0"/>
                <w:bCs/>
                <w:color w:val="000000"/>
                <w:sz w:val="24"/>
                <w:szCs w:val="24"/>
                <w:highlight w:val="none"/>
                <w:lang w:val="en-US" w:eastAsia="zh-CN"/>
              </w:rPr>
              <w:t xml:space="preserve">3 </w:t>
            </w:r>
          </w:p>
        </w:tc>
        <w:tc>
          <w:tcPr>
            <w:tcW w:w="1662" w:type="dxa"/>
            <w:tcBorders>
              <w:top w:val="single" w:color="auto" w:sz="4" w:space="0"/>
              <w:left w:val="single" w:color="auto" w:sz="4" w:space="0"/>
              <w:bottom w:val="single" w:color="auto" w:sz="4" w:space="0"/>
              <w:right w:val="single" w:color="auto" w:sz="4" w:space="0"/>
            </w:tcBorders>
            <w:vAlign w:val="center"/>
          </w:tcPr>
          <w:p w14:paraId="16019F06">
            <w:pPr>
              <w:jc w:val="center"/>
              <w:rPr>
                <w:rFonts w:hint="eastAsia" w:ascii="宋体" w:hAnsi="宋体" w:eastAsia="宋体" w:cs="宋体"/>
                <w:bCs/>
                <w:color w:val="000000"/>
                <w:kern w:val="2"/>
                <w:sz w:val="24"/>
                <w:szCs w:val="24"/>
                <w:highlight w:val="none"/>
                <w:lang w:val="en-US" w:eastAsia="zh-CN" w:bidi="ar-SA"/>
              </w:rPr>
            </w:pPr>
            <w:r>
              <w:rPr>
                <w:rFonts w:hint="eastAsia" w:ascii="仿宋" w:hAnsi="仿宋" w:eastAsia="仿宋" w:cs="仿宋"/>
                <w:b w:val="0"/>
                <w:bCs/>
                <w:color w:val="000000"/>
                <w:sz w:val="24"/>
                <w:szCs w:val="24"/>
                <w:highlight w:val="none"/>
                <w:lang w:val="en-US" w:eastAsia="zh-CN"/>
              </w:rPr>
              <w:t>12</w:t>
            </w:r>
          </w:p>
        </w:tc>
        <w:tc>
          <w:tcPr>
            <w:tcW w:w="0" w:type="auto"/>
            <w:tcBorders>
              <w:top w:val="single" w:color="auto" w:sz="4" w:space="0"/>
              <w:left w:val="single" w:color="auto" w:sz="4" w:space="0"/>
              <w:bottom w:val="single" w:color="auto" w:sz="4" w:space="0"/>
              <w:right w:val="single" w:color="auto" w:sz="4" w:space="0"/>
            </w:tcBorders>
            <w:vAlign w:val="center"/>
          </w:tcPr>
          <w:p w14:paraId="38C50097">
            <w:pPr>
              <w:jc w:val="center"/>
              <w:rPr>
                <w:rFonts w:hint="eastAsia" w:ascii="宋体" w:hAnsi="宋体" w:eastAsia="宋体" w:cs="宋体"/>
                <w:b/>
                <w:color w:val="000000"/>
                <w:kern w:val="2"/>
                <w:sz w:val="24"/>
                <w:szCs w:val="24"/>
                <w:highlight w:val="none"/>
                <w:lang w:val="en-US" w:eastAsia="zh-CN" w:bidi="ar-SA"/>
              </w:rPr>
            </w:pPr>
          </w:p>
        </w:tc>
      </w:tr>
      <w:tr w14:paraId="153E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39CBE5D">
            <w:pPr>
              <w:adjustRightInd w:val="0"/>
              <w:snapToGrid w:val="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w:t>
            </w:r>
          </w:p>
        </w:tc>
        <w:tc>
          <w:tcPr>
            <w:tcW w:w="0" w:type="auto"/>
            <w:tcBorders>
              <w:top w:val="single" w:color="auto" w:sz="4" w:space="0"/>
              <w:left w:val="single" w:color="auto" w:sz="4" w:space="0"/>
              <w:bottom w:val="single" w:color="auto" w:sz="4" w:space="0"/>
              <w:right w:val="single" w:color="auto" w:sz="4" w:space="0"/>
            </w:tcBorders>
            <w:vAlign w:val="center"/>
          </w:tcPr>
          <w:p w14:paraId="6493C906">
            <w:pPr>
              <w:jc w:val="left"/>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总价</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49385C13">
            <w:pPr>
              <w:jc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lang w:val="en-US" w:eastAsia="zh-CN"/>
              </w:rPr>
              <w:t>肆拾肆</w:t>
            </w:r>
            <w:r>
              <w:rPr>
                <w:rFonts w:hint="eastAsia" w:ascii="仿宋" w:hAnsi="仿宋" w:eastAsia="仿宋" w:cs="仿宋"/>
                <w:b/>
                <w:color w:val="000000"/>
                <w:sz w:val="24"/>
                <w:szCs w:val="24"/>
                <w:highlight w:val="none"/>
              </w:rPr>
              <w:t>万元整</w:t>
            </w:r>
          </w:p>
        </w:tc>
        <w:tc>
          <w:tcPr>
            <w:tcW w:w="0" w:type="auto"/>
            <w:tcBorders>
              <w:top w:val="single" w:color="auto" w:sz="4" w:space="0"/>
              <w:left w:val="single" w:color="auto" w:sz="4" w:space="0"/>
              <w:bottom w:val="single" w:color="auto" w:sz="4" w:space="0"/>
              <w:right w:val="single" w:color="auto" w:sz="4" w:space="0"/>
            </w:tcBorders>
            <w:vAlign w:val="center"/>
          </w:tcPr>
          <w:p w14:paraId="0BFF4631">
            <w:pPr>
              <w:jc w:val="center"/>
              <w:rPr>
                <w:rFonts w:hint="default" w:ascii="仿宋" w:hAnsi="仿宋" w:eastAsia="仿宋" w:cs="仿宋"/>
                <w:b/>
                <w:color w:val="000000"/>
                <w:sz w:val="24"/>
                <w:szCs w:val="24"/>
                <w:highlight w:val="none"/>
                <w:lang w:val="en-US" w:eastAsia="zh-CN"/>
              </w:rPr>
            </w:pPr>
            <w:r>
              <w:rPr>
                <w:rFonts w:hint="eastAsia" w:ascii="仿宋" w:hAnsi="仿宋" w:eastAsia="仿宋" w:cs="仿宋"/>
                <w:b/>
                <w:color w:val="000000"/>
                <w:sz w:val="24"/>
                <w:szCs w:val="24"/>
                <w:highlight w:val="none"/>
                <w:lang w:val="en-US" w:eastAsia="zh-CN"/>
              </w:rPr>
              <w:t>42</w:t>
            </w:r>
          </w:p>
        </w:tc>
        <w:tc>
          <w:tcPr>
            <w:tcW w:w="0" w:type="auto"/>
            <w:tcBorders>
              <w:top w:val="single" w:color="auto" w:sz="4" w:space="0"/>
              <w:left w:val="single" w:color="auto" w:sz="4" w:space="0"/>
              <w:bottom w:val="single" w:color="auto" w:sz="4" w:space="0"/>
              <w:right w:val="single" w:color="auto" w:sz="4" w:space="0"/>
            </w:tcBorders>
            <w:vAlign w:val="center"/>
          </w:tcPr>
          <w:p w14:paraId="69AF2090">
            <w:pPr>
              <w:jc w:val="center"/>
              <w:rPr>
                <w:rFonts w:hint="eastAsia" w:ascii="仿宋" w:hAnsi="仿宋" w:eastAsia="仿宋" w:cs="仿宋"/>
                <w:b/>
                <w:color w:val="000000"/>
                <w:sz w:val="24"/>
                <w:szCs w:val="24"/>
                <w:highlight w:val="none"/>
              </w:rPr>
            </w:pPr>
          </w:p>
        </w:tc>
      </w:tr>
    </w:tbl>
    <w:p w14:paraId="1644E268">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5.2技术服务报酬由甲方</w:t>
      </w:r>
      <w:r>
        <w:rPr>
          <w:rFonts w:hint="eastAsia" w:ascii="仿宋" w:hAnsi="仿宋" w:eastAsia="仿宋" w:cs="仿宋"/>
          <w:snapToGrid w:val="0"/>
          <w:kern w:val="0"/>
          <w:sz w:val="24"/>
          <w:szCs w:val="24"/>
          <w:highlight w:val="none"/>
          <w:u w:val="single"/>
        </w:rPr>
        <w:t xml:space="preserve"> 分期 </w:t>
      </w:r>
      <w:r>
        <w:rPr>
          <w:rFonts w:hint="eastAsia" w:ascii="仿宋" w:hAnsi="仿宋" w:eastAsia="仿宋" w:cs="仿宋"/>
          <w:snapToGrid w:val="0"/>
          <w:kern w:val="0"/>
          <w:sz w:val="24"/>
          <w:szCs w:val="24"/>
          <w:highlight w:val="none"/>
        </w:rPr>
        <w:t>支付乙方。</w:t>
      </w:r>
      <w:r>
        <w:rPr>
          <w:rFonts w:hint="eastAsia" w:ascii="仿宋" w:hAnsi="仿宋" w:eastAsia="仿宋" w:cs="仿宋"/>
          <w:sz w:val="24"/>
          <w:szCs w:val="24"/>
          <w:highlight w:val="none"/>
        </w:rPr>
        <w:t>乙方提交全额增值税发票及收据给甲方。</w:t>
      </w:r>
      <w:r>
        <w:rPr>
          <w:rFonts w:hint="eastAsia" w:ascii="仿宋" w:hAnsi="仿宋" w:eastAsia="仿宋" w:cs="仿宋"/>
          <w:snapToGrid w:val="0"/>
          <w:kern w:val="0"/>
          <w:sz w:val="24"/>
          <w:szCs w:val="24"/>
          <w:highlight w:val="none"/>
        </w:rPr>
        <w:t>具体支付方式和时间如下：</w:t>
      </w:r>
    </w:p>
    <w:p w14:paraId="092CC27C">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5.2.1 支付方式</w:t>
      </w:r>
    </w:p>
    <w:p w14:paraId="6621E953">
      <w:pPr>
        <w:spacing w:line="540" w:lineRule="exact"/>
        <w:ind w:firstLine="56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（1）本合同生效后的5日内，甲方向乙方支付合同总价的30%作为预付款</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即：126000元（大写：壹拾贰万陆仟元整）</w:t>
      </w:r>
      <w:r>
        <w:rPr>
          <w:rFonts w:hint="eastAsia" w:ascii="仿宋" w:hAnsi="仿宋" w:eastAsia="仿宋" w:cs="仿宋"/>
          <w:sz w:val="24"/>
          <w:szCs w:val="24"/>
          <w:highlight w:val="none"/>
        </w:rPr>
        <w:t>；</w:t>
      </w:r>
    </w:p>
    <w:p w14:paraId="7483744F">
      <w:pPr>
        <w:spacing w:line="540" w:lineRule="exact"/>
        <w:ind w:firstLine="56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（2）乙方人员进场后的5日内，甲方向乙方支付合同总价的30%作为第二次进度款</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即：126000元（大写：壹拾贰万陆仟元整）</w:t>
      </w:r>
      <w:r>
        <w:rPr>
          <w:rFonts w:hint="eastAsia" w:ascii="仿宋" w:hAnsi="仿宋" w:eastAsia="仿宋" w:cs="仿宋"/>
          <w:sz w:val="24"/>
          <w:szCs w:val="24"/>
          <w:highlight w:val="none"/>
        </w:rPr>
        <w:t>；</w:t>
      </w:r>
    </w:p>
    <w:p w14:paraId="1D845EDF">
      <w:pPr>
        <w:pStyle w:val="2"/>
        <w:ind w:firstLine="480" w:firstLineChars="200"/>
        <w:jc w:val="left"/>
        <w:rPr>
          <w:rFonts w:hint="eastAsia" w:ascii="仿宋" w:hAnsi="仿宋" w:eastAsia="仿宋" w:cs="仿宋"/>
          <w:b w:val="0"/>
          <w:bCs w:val="0"/>
          <w:kern w:val="2"/>
          <w:sz w:val="24"/>
          <w:szCs w:val="24"/>
          <w:highlight w:val="none"/>
        </w:rPr>
      </w:pPr>
      <w:r>
        <w:rPr>
          <w:rFonts w:hint="eastAsia" w:ascii="仿宋" w:hAnsi="仿宋" w:eastAsia="仿宋" w:cs="仿宋"/>
          <w:b w:val="0"/>
          <w:bCs w:val="0"/>
          <w:kern w:val="2"/>
          <w:sz w:val="24"/>
          <w:szCs w:val="24"/>
          <w:highlight w:val="none"/>
        </w:rPr>
        <w:t>（3）报告移交</w:t>
      </w:r>
      <w:r>
        <w:rPr>
          <w:rFonts w:hint="eastAsia" w:ascii="仿宋" w:hAnsi="仿宋" w:eastAsia="仿宋" w:cs="仿宋"/>
          <w:b w:val="0"/>
          <w:bCs w:val="0"/>
          <w:kern w:val="2"/>
          <w:sz w:val="24"/>
          <w:szCs w:val="24"/>
          <w:highlight w:val="none"/>
          <w:lang w:val="en-US" w:eastAsia="zh-CN"/>
        </w:rPr>
        <w:t>并满足巴州地调要求</w:t>
      </w:r>
      <w:r>
        <w:rPr>
          <w:rFonts w:hint="eastAsia" w:ascii="仿宋" w:hAnsi="仿宋" w:eastAsia="仿宋" w:cs="仿宋"/>
          <w:b w:val="0"/>
          <w:bCs w:val="0"/>
          <w:kern w:val="2"/>
          <w:sz w:val="24"/>
          <w:szCs w:val="24"/>
          <w:highlight w:val="none"/>
        </w:rPr>
        <w:t>后</w:t>
      </w:r>
      <w:r>
        <w:rPr>
          <w:rFonts w:hint="eastAsia" w:ascii="仿宋" w:hAnsi="仿宋" w:eastAsia="仿宋" w:cs="仿宋"/>
          <w:b w:val="0"/>
          <w:bCs w:val="0"/>
          <w:kern w:val="2"/>
          <w:sz w:val="24"/>
          <w:szCs w:val="24"/>
          <w:highlight w:val="none"/>
          <w:lang w:val="en-US" w:eastAsia="zh-CN"/>
        </w:rPr>
        <w:t>5日内</w:t>
      </w:r>
      <w:r>
        <w:rPr>
          <w:rFonts w:hint="eastAsia" w:ascii="仿宋" w:hAnsi="仿宋" w:eastAsia="仿宋" w:cs="仿宋"/>
          <w:b w:val="0"/>
          <w:bCs w:val="0"/>
          <w:kern w:val="2"/>
          <w:sz w:val="24"/>
          <w:szCs w:val="24"/>
          <w:highlight w:val="none"/>
        </w:rPr>
        <w:t>,甲方向乙方支付合同总价的40%作为合同最终付款</w:t>
      </w:r>
      <w:r>
        <w:rPr>
          <w:rFonts w:hint="eastAsia" w:ascii="仿宋" w:hAnsi="仿宋" w:eastAsia="仿宋" w:cs="仿宋"/>
          <w:b w:val="0"/>
          <w:bCs w:val="0"/>
          <w:kern w:val="2"/>
          <w:sz w:val="24"/>
          <w:szCs w:val="24"/>
          <w:highlight w:val="none"/>
          <w:lang w:eastAsia="zh-CN"/>
        </w:rPr>
        <w:t>，</w:t>
      </w:r>
      <w:r>
        <w:rPr>
          <w:rFonts w:hint="eastAsia" w:ascii="仿宋" w:hAnsi="仿宋" w:eastAsia="仿宋" w:cs="仿宋"/>
          <w:b w:val="0"/>
          <w:bCs w:val="0"/>
          <w:kern w:val="2"/>
          <w:sz w:val="24"/>
          <w:szCs w:val="24"/>
          <w:highlight w:val="none"/>
          <w:lang w:val="en-US" w:eastAsia="zh-CN"/>
        </w:rPr>
        <w:t>即：168000元（大写：壹万陆仟捌佰整）</w:t>
      </w:r>
      <w:r>
        <w:rPr>
          <w:rFonts w:hint="eastAsia" w:ascii="仿宋" w:hAnsi="仿宋" w:eastAsia="仿宋" w:cs="仿宋"/>
          <w:b w:val="0"/>
          <w:bCs w:val="0"/>
          <w:kern w:val="2"/>
          <w:sz w:val="24"/>
          <w:szCs w:val="24"/>
          <w:highlight w:val="none"/>
        </w:rPr>
        <w:t>；。</w:t>
      </w:r>
    </w:p>
    <w:p w14:paraId="27EEA95F">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支付方式：电汇。</w:t>
      </w:r>
    </w:p>
    <w:p w14:paraId="59638FD5">
      <w:pPr>
        <w:widowControl/>
        <w:tabs>
          <w:tab w:val="left" w:pos="720"/>
        </w:tabs>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乙方应提供真实合法有效且符合甲方主管税务机关标准的等额增值税</w:t>
      </w:r>
      <w:r>
        <w:rPr>
          <w:rFonts w:hint="eastAsia" w:ascii="仿宋" w:hAnsi="仿宋" w:eastAsia="仿宋" w:cs="仿宋"/>
          <w:snapToGrid w:val="0"/>
          <w:kern w:val="0"/>
          <w:sz w:val="24"/>
          <w:szCs w:val="24"/>
          <w:highlight w:val="none"/>
          <w:lang w:val="en-US" w:eastAsia="zh-CN"/>
        </w:rPr>
        <w:t>普通</w:t>
      </w:r>
      <w:r>
        <w:rPr>
          <w:rFonts w:hint="eastAsia" w:ascii="仿宋" w:hAnsi="仿宋" w:eastAsia="仿宋" w:cs="仿宋"/>
          <w:snapToGrid w:val="0"/>
          <w:kern w:val="0"/>
          <w:sz w:val="24"/>
          <w:szCs w:val="24"/>
          <w:highlight w:val="none"/>
        </w:rPr>
        <w:t xml:space="preserve">发票，乙方未按合同约定提供发票的，甲方有权相应延期付款且不视为违约。 </w:t>
      </w:r>
    </w:p>
    <w:p w14:paraId="189A0DFD">
      <w:pPr>
        <w:widowControl/>
        <w:spacing w:line="360" w:lineRule="auto"/>
        <w:jc w:val="left"/>
        <w:rPr>
          <w:rFonts w:hint="eastAsia" w:ascii="仿宋" w:hAnsi="仿宋" w:eastAsia="仿宋" w:cs="仿宋"/>
          <w:b/>
          <w:bCs/>
          <w:snapToGrid w:val="0"/>
          <w:kern w:val="0"/>
          <w:sz w:val="28"/>
          <w:szCs w:val="28"/>
          <w:highlight w:val="none"/>
        </w:rPr>
      </w:pPr>
      <w:bookmarkStart w:id="7" w:name="_Toc363053363"/>
      <w:r>
        <w:rPr>
          <w:rFonts w:hint="eastAsia" w:ascii="仿宋" w:hAnsi="仿宋" w:eastAsia="仿宋" w:cs="仿宋"/>
          <w:b/>
          <w:bCs/>
          <w:snapToGrid w:val="0"/>
          <w:kern w:val="0"/>
          <w:sz w:val="28"/>
          <w:szCs w:val="28"/>
          <w:highlight w:val="none"/>
          <w:lang w:val="en-US" w:eastAsia="zh-CN"/>
        </w:rPr>
        <w:t>六、</w:t>
      </w:r>
      <w:r>
        <w:rPr>
          <w:rFonts w:hint="eastAsia" w:ascii="仿宋" w:hAnsi="仿宋" w:eastAsia="仿宋" w:cs="仿宋"/>
          <w:b/>
          <w:bCs/>
          <w:snapToGrid w:val="0"/>
          <w:kern w:val="0"/>
          <w:sz w:val="28"/>
          <w:szCs w:val="28"/>
          <w:highlight w:val="none"/>
        </w:rPr>
        <w:t>技术服务工作成果的验收</w:t>
      </w:r>
      <w:bookmarkEnd w:id="7"/>
    </w:p>
    <w:p w14:paraId="19A3BAAC">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6.1乙方完成技术服务工作的形式：</w:t>
      </w:r>
      <w:r>
        <w:rPr>
          <w:rFonts w:hint="eastAsia" w:ascii="仿宋" w:hAnsi="仿宋" w:eastAsia="仿宋" w:cs="仿宋"/>
          <w:snapToGrid w:val="0"/>
          <w:kern w:val="0"/>
          <w:sz w:val="24"/>
          <w:szCs w:val="24"/>
          <w:highlight w:val="none"/>
          <w:u w:val="single"/>
        </w:rPr>
        <w:t xml:space="preserve"> 完成实验，并提交报告  </w:t>
      </w:r>
      <w:r>
        <w:rPr>
          <w:rFonts w:hint="eastAsia" w:ascii="仿宋" w:hAnsi="仿宋" w:eastAsia="仿宋" w:cs="仿宋"/>
          <w:snapToGrid w:val="0"/>
          <w:kern w:val="0"/>
          <w:sz w:val="24"/>
          <w:szCs w:val="24"/>
          <w:highlight w:val="none"/>
        </w:rPr>
        <w:t>。</w:t>
      </w:r>
    </w:p>
    <w:p w14:paraId="721C05F2">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6.2技术服务工作成果的验收方法：</w:t>
      </w:r>
      <w:r>
        <w:rPr>
          <w:rFonts w:hint="eastAsia" w:ascii="仿宋" w:hAnsi="仿宋" w:eastAsia="仿宋" w:cs="仿宋"/>
          <w:snapToGrid w:val="0"/>
          <w:kern w:val="0"/>
          <w:sz w:val="24"/>
          <w:szCs w:val="24"/>
          <w:highlight w:val="none"/>
          <w:u w:val="single"/>
        </w:rPr>
        <w:t xml:space="preserve"> 完成实验，并提交报告</w:t>
      </w:r>
      <w:r>
        <w:rPr>
          <w:rFonts w:hint="eastAsia" w:ascii="仿宋" w:hAnsi="仿宋" w:eastAsia="仿宋" w:cs="仿宋"/>
          <w:snapToGrid w:val="0"/>
          <w:kern w:val="0"/>
          <w:sz w:val="24"/>
          <w:szCs w:val="24"/>
          <w:highlight w:val="none"/>
          <w:u w:val="single"/>
          <w:lang w:eastAsia="zh-CN"/>
        </w:rPr>
        <w:t>，</w:t>
      </w:r>
      <w:r>
        <w:rPr>
          <w:rFonts w:hint="eastAsia" w:ascii="仿宋" w:hAnsi="仿宋" w:eastAsia="仿宋" w:cs="仿宋"/>
          <w:snapToGrid w:val="0"/>
          <w:kern w:val="0"/>
          <w:sz w:val="24"/>
          <w:szCs w:val="24"/>
          <w:highlight w:val="none"/>
          <w:u w:val="single"/>
          <w:lang w:val="en-US" w:eastAsia="zh-CN"/>
        </w:rPr>
        <w:t>并满足巴音郭楞蒙古自治州地调要求</w:t>
      </w:r>
      <w:r>
        <w:rPr>
          <w:rFonts w:hint="eastAsia" w:ascii="仿宋" w:hAnsi="仿宋" w:eastAsia="仿宋" w:cs="仿宋"/>
          <w:snapToGrid w:val="0"/>
          <w:kern w:val="0"/>
          <w:sz w:val="24"/>
          <w:szCs w:val="24"/>
          <w:highlight w:val="none"/>
          <w:u w:val="single"/>
        </w:rPr>
        <w:t xml:space="preserve">  </w:t>
      </w:r>
      <w:r>
        <w:rPr>
          <w:rFonts w:hint="eastAsia" w:ascii="仿宋" w:hAnsi="仿宋" w:eastAsia="仿宋" w:cs="仿宋"/>
          <w:snapToGrid w:val="0"/>
          <w:kern w:val="0"/>
          <w:sz w:val="24"/>
          <w:szCs w:val="24"/>
          <w:highlight w:val="none"/>
        </w:rPr>
        <w:t>。</w:t>
      </w:r>
    </w:p>
    <w:p w14:paraId="7231D4C3">
      <w:pPr>
        <w:widowControl/>
        <w:spacing w:line="360" w:lineRule="auto"/>
        <w:jc w:val="left"/>
        <w:rPr>
          <w:rFonts w:hint="eastAsia" w:ascii="仿宋" w:hAnsi="仿宋" w:eastAsia="仿宋" w:cs="仿宋"/>
          <w:b/>
          <w:bCs/>
          <w:snapToGrid w:val="0"/>
          <w:kern w:val="0"/>
          <w:sz w:val="28"/>
          <w:szCs w:val="28"/>
          <w:highlight w:val="none"/>
        </w:rPr>
      </w:pPr>
      <w:bookmarkStart w:id="8" w:name="_Toc363053364"/>
      <w:r>
        <w:rPr>
          <w:rFonts w:hint="eastAsia" w:ascii="仿宋" w:hAnsi="仿宋" w:eastAsia="仿宋" w:cs="仿宋"/>
          <w:b/>
          <w:bCs/>
          <w:snapToGrid w:val="0"/>
          <w:kern w:val="0"/>
          <w:sz w:val="28"/>
          <w:szCs w:val="28"/>
          <w:highlight w:val="none"/>
          <w:lang w:val="en-US" w:eastAsia="zh-CN"/>
        </w:rPr>
        <w:t>七、</w:t>
      </w:r>
      <w:r>
        <w:rPr>
          <w:rFonts w:hint="eastAsia" w:ascii="仿宋" w:hAnsi="仿宋" w:eastAsia="仿宋" w:cs="仿宋"/>
          <w:b/>
          <w:bCs/>
          <w:snapToGrid w:val="0"/>
          <w:kern w:val="0"/>
          <w:sz w:val="28"/>
          <w:szCs w:val="28"/>
          <w:highlight w:val="none"/>
        </w:rPr>
        <w:t>知识产权</w:t>
      </w:r>
      <w:bookmarkEnd w:id="8"/>
    </w:p>
    <w:p w14:paraId="6989D3CB">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7.1在本合同有效期内，甲方利用乙方提交的技术服务工作成果所完成的新的技术成果，归</w:t>
      </w:r>
      <w:r>
        <w:rPr>
          <w:rFonts w:hint="eastAsia" w:ascii="仿宋" w:hAnsi="仿宋" w:eastAsia="仿宋" w:cs="仿宋"/>
          <w:snapToGrid w:val="0"/>
          <w:kern w:val="0"/>
          <w:sz w:val="24"/>
          <w:szCs w:val="24"/>
          <w:highlight w:val="none"/>
          <w:u w:val="single"/>
        </w:rPr>
        <w:t xml:space="preserve">  双  </w:t>
      </w:r>
      <w:r>
        <w:rPr>
          <w:rFonts w:hint="eastAsia" w:ascii="仿宋" w:hAnsi="仿宋" w:eastAsia="仿宋" w:cs="仿宋"/>
          <w:snapToGrid w:val="0"/>
          <w:kern w:val="0"/>
          <w:sz w:val="24"/>
          <w:szCs w:val="24"/>
          <w:highlight w:val="none"/>
        </w:rPr>
        <w:t>方所有。</w:t>
      </w:r>
    </w:p>
    <w:p w14:paraId="70B694FD">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7.2在本合同有效期内，乙方利用甲方提供的技术资料和工作条件所完成的新的技术成果，归</w:t>
      </w:r>
      <w:r>
        <w:rPr>
          <w:rFonts w:hint="eastAsia" w:ascii="仿宋" w:hAnsi="仿宋" w:eastAsia="仿宋" w:cs="仿宋"/>
          <w:snapToGrid w:val="0"/>
          <w:kern w:val="0"/>
          <w:sz w:val="24"/>
          <w:szCs w:val="24"/>
          <w:highlight w:val="none"/>
          <w:u w:val="single"/>
        </w:rPr>
        <w:t xml:space="preserve"> 双  </w:t>
      </w:r>
      <w:r>
        <w:rPr>
          <w:rFonts w:hint="eastAsia" w:ascii="仿宋" w:hAnsi="仿宋" w:eastAsia="仿宋" w:cs="仿宋"/>
          <w:snapToGrid w:val="0"/>
          <w:kern w:val="0"/>
          <w:sz w:val="24"/>
          <w:szCs w:val="24"/>
          <w:highlight w:val="none"/>
        </w:rPr>
        <w:t>方所有。</w:t>
      </w:r>
    </w:p>
    <w:p w14:paraId="63C12E11">
      <w:pPr>
        <w:widowControl/>
        <w:spacing w:line="360" w:lineRule="auto"/>
        <w:jc w:val="left"/>
        <w:rPr>
          <w:rFonts w:hint="eastAsia" w:ascii="仿宋" w:hAnsi="仿宋" w:eastAsia="仿宋" w:cs="仿宋"/>
          <w:b/>
          <w:bCs/>
          <w:snapToGrid w:val="0"/>
          <w:kern w:val="0"/>
          <w:sz w:val="28"/>
          <w:szCs w:val="28"/>
          <w:highlight w:val="none"/>
        </w:rPr>
      </w:pPr>
      <w:bookmarkStart w:id="9" w:name="_Toc363053365"/>
      <w:r>
        <w:rPr>
          <w:rFonts w:hint="eastAsia" w:ascii="仿宋" w:hAnsi="仿宋" w:eastAsia="仿宋" w:cs="仿宋"/>
          <w:b/>
          <w:bCs/>
          <w:snapToGrid w:val="0"/>
          <w:kern w:val="0"/>
          <w:sz w:val="28"/>
          <w:szCs w:val="28"/>
          <w:highlight w:val="none"/>
          <w:lang w:val="en-US" w:eastAsia="zh-CN"/>
        </w:rPr>
        <w:t>八、</w:t>
      </w:r>
      <w:r>
        <w:rPr>
          <w:rFonts w:hint="eastAsia" w:ascii="仿宋" w:hAnsi="仿宋" w:eastAsia="仿宋" w:cs="仿宋"/>
          <w:b/>
          <w:bCs/>
          <w:snapToGrid w:val="0"/>
          <w:kern w:val="0"/>
          <w:sz w:val="28"/>
          <w:szCs w:val="28"/>
          <w:highlight w:val="none"/>
        </w:rPr>
        <w:t>保密义务</w:t>
      </w:r>
      <w:bookmarkEnd w:id="9"/>
    </w:p>
    <w:p w14:paraId="2A8B97FA">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8.1一方及其工作人员应对技术服务合同签订、履行过程中了解到的涉及到另一方商业秘密的文件资料以及其他尚未公开的有关信息承担保密责任，并采取相应的保密措施。双方应承担的保密义务包括但不限于：</w:t>
      </w:r>
    </w:p>
    <w:p w14:paraId="19B3E240">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8.1.1未经一方书面同意，另一方不得将上述保密信息披露给任何第三人；</w:t>
      </w:r>
    </w:p>
    <w:p w14:paraId="55513B1C">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 xml:space="preserve">8.1.2 不得将上述保密信息用于本合同以外的其他目的。 </w:t>
      </w:r>
    </w:p>
    <w:p w14:paraId="58BF21B5">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8.1.3 在技术服务项目通过评审后或按合同要求，及时将上述资料和信息返还对方或按对方要求作适当处理。</w:t>
      </w:r>
    </w:p>
    <w:p w14:paraId="438DE272">
      <w:pPr>
        <w:widowControl/>
        <w:spacing w:line="360" w:lineRule="auto"/>
        <w:ind w:firstLine="566" w:firstLineChars="23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8.2上述保密义务的期限至保密信息正式向社会公开之日或一方书面解除另一方此合同项下保密义务之日止。</w:t>
      </w:r>
    </w:p>
    <w:p w14:paraId="255B57AD">
      <w:pPr>
        <w:widowControl/>
        <w:spacing w:line="360" w:lineRule="auto"/>
        <w:jc w:val="left"/>
        <w:rPr>
          <w:rFonts w:hint="eastAsia" w:ascii="仿宋" w:hAnsi="仿宋" w:eastAsia="仿宋" w:cs="仿宋"/>
          <w:b/>
          <w:bCs/>
          <w:snapToGrid w:val="0"/>
          <w:kern w:val="0"/>
          <w:sz w:val="28"/>
          <w:szCs w:val="28"/>
          <w:highlight w:val="none"/>
        </w:rPr>
      </w:pPr>
      <w:bookmarkStart w:id="10" w:name="_Toc363053366"/>
      <w:r>
        <w:rPr>
          <w:rFonts w:hint="eastAsia" w:ascii="仿宋" w:hAnsi="仿宋" w:eastAsia="仿宋" w:cs="仿宋"/>
          <w:b/>
          <w:bCs/>
          <w:snapToGrid w:val="0"/>
          <w:kern w:val="0"/>
          <w:sz w:val="28"/>
          <w:szCs w:val="28"/>
          <w:highlight w:val="none"/>
          <w:lang w:val="en-US" w:eastAsia="zh-CN"/>
        </w:rPr>
        <w:t>九、</w:t>
      </w:r>
      <w:r>
        <w:rPr>
          <w:rFonts w:hint="eastAsia" w:ascii="仿宋" w:hAnsi="仿宋" w:eastAsia="仿宋" w:cs="仿宋"/>
          <w:b/>
          <w:bCs/>
          <w:snapToGrid w:val="0"/>
          <w:kern w:val="0"/>
          <w:sz w:val="28"/>
          <w:szCs w:val="28"/>
          <w:highlight w:val="none"/>
        </w:rPr>
        <w:t>违约责任</w:t>
      </w:r>
      <w:bookmarkEnd w:id="10"/>
    </w:p>
    <w:p w14:paraId="44482D2A">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9.1 乙方不履行本合同义务或履行义务不符合约定的，甲方有权要求乙方承担继续履行、赔偿损失或支付违约金等违约责任。</w:t>
      </w:r>
    </w:p>
    <w:p w14:paraId="7D456508">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9.1.1 乙方未按期完成技术服务工作的，每逾期</w:t>
      </w:r>
      <w:r>
        <w:rPr>
          <w:rFonts w:hint="eastAsia" w:ascii="仿宋" w:hAnsi="仿宋" w:eastAsia="仿宋" w:cs="仿宋"/>
          <w:snapToGrid w:val="0"/>
          <w:kern w:val="0"/>
          <w:sz w:val="24"/>
          <w:szCs w:val="24"/>
          <w:highlight w:val="none"/>
          <w:lang w:val="en-US" w:eastAsia="zh-CN"/>
        </w:rPr>
        <w:t>1</w:t>
      </w:r>
      <w:r>
        <w:rPr>
          <w:rFonts w:hint="eastAsia" w:ascii="仿宋" w:hAnsi="仿宋" w:eastAsia="仿宋" w:cs="仿宋"/>
          <w:snapToGrid w:val="0"/>
          <w:kern w:val="0"/>
          <w:sz w:val="24"/>
          <w:szCs w:val="24"/>
          <w:highlight w:val="none"/>
        </w:rPr>
        <w:t>天，应向甲方支付</w:t>
      </w:r>
      <w:r>
        <w:rPr>
          <w:rFonts w:hint="eastAsia" w:ascii="仿宋" w:hAnsi="仿宋" w:eastAsia="仿宋" w:cs="仿宋"/>
          <w:snapToGrid w:val="0"/>
          <w:kern w:val="0"/>
          <w:sz w:val="24"/>
          <w:szCs w:val="24"/>
          <w:highlight w:val="none"/>
          <w:lang w:val="en-US" w:eastAsia="zh-CN"/>
        </w:rPr>
        <w:t>1000元/天的</w:t>
      </w:r>
      <w:r>
        <w:rPr>
          <w:rFonts w:hint="eastAsia" w:ascii="仿宋" w:hAnsi="仿宋" w:eastAsia="仿宋" w:cs="仿宋"/>
          <w:snapToGrid w:val="0"/>
          <w:kern w:val="0"/>
          <w:sz w:val="24"/>
          <w:szCs w:val="24"/>
          <w:highlight w:val="none"/>
        </w:rPr>
        <w:t>违约金，逾期超过</w:t>
      </w:r>
      <w:r>
        <w:rPr>
          <w:rFonts w:hint="eastAsia" w:ascii="仿宋" w:hAnsi="仿宋" w:eastAsia="仿宋" w:cs="仿宋"/>
          <w:snapToGrid w:val="0"/>
          <w:kern w:val="0"/>
          <w:sz w:val="24"/>
          <w:szCs w:val="24"/>
          <w:highlight w:val="none"/>
          <w:u w:val="single"/>
        </w:rPr>
        <w:t xml:space="preserve"> 15 </w:t>
      </w:r>
      <w:r>
        <w:rPr>
          <w:rFonts w:hint="eastAsia" w:ascii="仿宋" w:hAnsi="仿宋" w:eastAsia="仿宋" w:cs="仿宋"/>
          <w:snapToGrid w:val="0"/>
          <w:kern w:val="0"/>
          <w:sz w:val="24"/>
          <w:szCs w:val="24"/>
          <w:highlight w:val="none"/>
        </w:rPr>
        <w:t>日的，甲方有权单方解除合同。</w:t>
      </w:r>
    </w:p>
    <w:p w14:paraId="0D4FA691">
      <w:pPr>
        <w:widowControl/>
        <w:spacing w:line="360" w:lineRule="auto"/>
        <w:ind w:firstLine="424" w:firstLineChars="177"/>
        <w:jc w:val="left"/>
        <w:rPr>
          <w:rFonts w:hint="eastAsia" w:ascii="仿宋" w:hAnsi="仿宋" w:eastAsia="仿宋" w:cs="仿宋"/>
          <w:snapToGrid w:val="0"/>
          <w:kern w:val="0"/>
          <w:sz w:val="24"/>
          <w:szCs w:val="24"/>
          <w:highlight w:val="none"/>
        </w:rPr>
      </w:pPr>
      <w:bookmarkStart w:id="21" w:name="_GoBack"/>
      <w:r>
        <w:rPr>
          <w:rFonts w:hint="eastAsia" w:ascii="仿宋" w:hAnsi="仿宋" w:eastAsia="仿宋" w:cs="仿宋"/>
          <w:snapToGrid w:val="0"/>
          <w:kern w:val="0"/>
          <w:sz w:val="24"/>
          <w:szCs w:val="24"/>
          <w:highlight w:val="none"/>
        </w:rPr>
        <w:t>9.1.2 乙方未按合同约定履行合同义务，经甲方催告仍未纠正的，甲方有权</w:t>
      </w:r>
      <w:bookmarkEnd w:id="21"/>
      <w:r>
        <w:rPr>
          <w:rFonts w:hint="eastAsia" w:ascii="仿宋" w:hAnsi="仿宋" w:eastAsia="仿宋" w:cs="仿宋"/>
          <w:snapToGrid w:val="0"/>
          <w:kern w:val="0"/>
          <w:sz w:val="24"/>
          <w:szCs w:val="24"/>
          <w:highlight w:val="none"/>
        </w:rPr>
        <w:t>单方解除合同。由于整改纠正造成进度延期交付的视同逾期交付。</w:t>
      </w:r>
    </w:p>
    <w:p w14:paraId="6D9DE973">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 xml:space="preserve">9.1.3乙方提供的技术服务不符合本合同约定的验收标准，未通过甲方验收的，乙方应退还甲方已支付的全部款项，并向甲方支付相当于技术服务报酬 </w:t>
      </w:r>
      <w:r>
        <w:rPr>
          <w:rFonts w:hint="eastAsia" w:ascii="仿宋" w:hAnsi="仿宋" w:eastAsia="仿宋" w:cs="仿宋"/>
          <w:snapToGrid w:val="0"/>
          <w:kern w:val="0"/>
          <w:sz w:val="24"/>
          <w:szCs w:val="24"/>
          <w:highlight w:val="none"/>
          <w:u w:val="single"/>
        </w:rPr>
        <w:t xml:space="preserve"> 5 </w:t>
      </w:r>
      <w:r>
        <w:rPr>
          <w:rFonts w:hint="eastAsia" w:ascii="仿宋" w:hAnsi="仿宋" w:eastAsia="仿宋" w:cs="仿宋"/>
          <w:snapToGrid w:val="0"/>
          <w:kern w:val="0"/>
          <w:sz w:val="24"/>
          <w:szCs w:val="24"/>
          <w:highlight w:val="none"/>
        </w:rPr>
        <w:t>%的违约金。</w:t>
      </w:r>
    </w:p>
    <w:p w14:paraId="1A693C8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9.1.4乙方违反合同约定的保密义务，应承担一切法律责任并向甲方支付相当于技术服务报酬</w:t>
      </w:r>
      <w:r>
        <w:rPr>
          <w:rFonts w:hint="eastAsia" w:ascii="仿宋" w:hAnsi="仿宋" w:eastAsia="仿宋" w:cs="仿宋"/>
          <w:snapToGrid w:val="0"/>
          <w:kern w:val="0"/>
          <w:sz w:val="24"/>
          <w:szCs w:val="24"/>
          <w:highlight w:val="none"/>
          <w:u w:val="single"/>
        </w:rPr>
        <w:t xml:space="preserve"> 5 </w:t>
      </w:r>
      <w:r>
        <w:rPr>
          <w:rFonts w:hint="eastAsia" w:ascii="仿宋" w:hAnsi="仿宋" w:eastAsia="仿宋" w:cs="仿宋"/>
          <w:snapToGrid w:val="0"/>
          <w:kern w:val="0"/>
          <w:sz w:val="24"/>
          <w:szCs w:val="24"/>
          <w:highlight w:val="none"/>
        </w:rPr>
        <w:t>%的违约金。</w:t>
      </w:r>
    </w:p>
    <w:p w14:paraId="0494FD39">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9.1.5合同因乙方原因解除的，甲方有权停止支付并要求乙方退还甲方已支付的全部款项，且乙方应向甲方支付相当于技术服务报酬</w:t>
      </w:r>
      <w:r>
        <w:rPr>
          <w:rFonts w:hint="eastAsia" w:ascii="仿宋" w:hAnsi="仿宋" w:eastAsia="仿宋" w:cs="仿宋"/>
          <w:snapToGrid w:val="0"/>
          <w:kern w:val="0"/>
          <w:sz w:val="24"/>
          <w:szCs w:val="24"/>
          <w:highlight w:val="none"/>
          <w:u w:val="single"/>
        </w:rPr>
        <w:t xml:space="preserve"> 5</w:t>
      </w:r>
      <w:r>
        <w:rPr>
          <w:rFonts w:hint="eastAsia" w:ascii="仿宋" w:hAnsi="仿宋" w:eastAsia="仿宋" w:cs="仿宋"/>
          <w:snapToGrid w:val="0"/>
          <w:kern w:val="0"/>
          <w:sz w:val="24"/>
          <w:szCs w:val="24"/>
          <w:highlight w:val="none"/>
        </w:rPr>
        <w:t>%的违约金。</w:t>
      </w:r>
    </w:p>
    <w:p w14:paraId="649598AB">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9.1.6乙方因违约需要向甲方支付违约金或赔偿损失的，甲方有权从任何一期合同应付款项中予以扣除。</w:t>
      </w:r>
    </w:p>
    <w:p w14:paraId="7E34E387">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9.2甲方不履行本合同义务或者履行义务不符合约定的，乙方有权要求甲方承担继续履行、支付违约金等违约责任。</w:t>
      </w:r>
    </w:p>
    <w:p w14:paraId="1C76C041">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9.2.1甲方不提供工作条件或提供的工作条件不符合约定，影响工作进度和质量，承担由此造成的项目延期、费用增加的责任。</w:t>
      </w:r>
    </w:p>
    <w:p w14:paraId="66BC35BF">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9.2.2甲方逾期支付技术服务报酬的，应就逾期部分向乙方支付按照中国人民银行规定的同期贷款</w:t>
      </w:r>
      <w:r>
        <w:rPr>
          <w:rFonts w:hint="eastAsia" w:ascii="仿宋" w:hAnsi="仿宋" w:eastAsia="仿宋" w:cs="仿宋"/>
          <w:snapToGrid w:val="0"/>
          <w:kern w:val="0"/>
          <w:sz w:val="24"/>
          <w:szCs w:val="24"/>
          <w:highlight w:val="none"/>
          <w:lang w:val="en-US" w:eastAsia="zh-CN"/>
        </w:rPr>
        <w:t>LPR</w:t>
      </w:r>
      <w:r>
        <w:rPr>
          <w:rFonts w:hint="eastAsia" w:ascii="仿宋" w:hAnsi="仿宋" w:eastAsia="仿宋" w:cs="仿宋"/>
          <w:snapToGrid w:val="0"/>
          <w:kern w:val="0"/>
          <w:sz w:val="24"/>
          <w:szCs w:val="24"/>
          <w:highlight w:val="none"/>
        </w:rPr>
        <w:t>的逾期付款违约金。</w:t>
      </w:r>
    </w:p>
    <w:p w14:paraId="551B10DE">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9.2.3甲方无正当理由不接受工作成果的，已支付的报酬不得追回，未支付的报酬应当支付，并向乙方支付相当于技术服务报酬</w:t>
      </w:r>
      <w:r>
        <w:rPr>
          <w:rFonts w:hint="eastAsia" w:ascii="仿宋" w:hAnsi="仿宋" w:eastAsia="仿宋" w:cs="仿宋"/>
          <w:snapToGrid w:val="0"/>
          <w:kern w:val="0"/>
          <w:sz w:val="24"/>
          <w:szCs w:val="24"/>
          <w:highlight w:val="none"/>
          <w:u w:val="single"/>
        </w:rPr>
        <w:t xml:space="preserve"> 2</w:t>
      </w:r>
      <w:r>
        <w:rPr>
          <w:rFonts w:hint="eastAsia" w:ascii="仿宋" w:hAnsi="仿宋" w:eastAsia="仿宋" w:cs="仿宋"/>
          <w:snapToGrid w:val="0"/>
          <w:kern w:val="0"/>
          <w:sz w:val="24"/>
          <w:szCs w:val="24"/>
          <w:highlight w:val="none"/>
        </w:rPr>
        <w:t>%的违约金；甲方无正当理由逾期不接受工作成果的，每逾期</w:t>
      </w:r>
      <w:r>
        <w:rPr>
          <w:rFonts w:hint="eastAsia" w:ascii="仿宋" w:hAnsi="仿宋" w:eastAsia="仿宋" w:cs="仿宋"/>
          <w:snapToGrid w:val="0"/>
          <w:kern w:val="0"/>
          <w:sz w:val="24"/>
          <w:szCs w:val="24"/>
          <w:highlight w:val="none"/>
          <w:lang w:val="en-US" w:eastAsia="zh-CN"/>
        </w:rPr>
        <w:t>1</w:t>
      </w:r>
      <w:r>
        <w:rPr>
          <w:rFonts w:hint="eastAsia" w:ascii="仿宋" w:hAnsi="仿宋" w:eastAsia="仿宋" w:cs="仿宋"/>
          <w:snapToGrid w:val="0"/>
          <w:kern w:val="0"/>
          <w:sz w:val="24"/>
          <w:szCs w:val="24"/>
          <w:highlight w:val="none"/>
        </w:rPr>
        <w:t>天， 应向乙方支付</w:t>
      </w:r>
      <w:r>
        <w:rPr>
          <w:rFonts w:hint="eastAsia" w:ascii="仿宋" w:hAnsi="仿宋" w:eastAsia="仿宋" w:cs="仿宋"/>
          <w:snapToGrid w:val="0"/>
          <w:kern w:val="0"/>
          <w:sz w:val="24"/>
          <w:szCs w:val="24"/>
          <w:highlight w:val="none"/>
          <w:lang w:val="en-US" w:eastAsia="zh-CN"/>
        </w:rPr>
        <w:t>1000元/天</w:t>
      </w:r>
      <w:r>
        <w:rPr>
          <w:rFonts w:hint="eastAsia" w:ascii="仿宋" w:hAnsi="仿宋" w:eastAsia="仿宋" w:cs="仿宋"/>
          <w:snapToGrid w:val="0"/>
          <w:kern w:val="0"/>
          <w:sz w:val="24"/>
          <w:szCs w:val="24"/>
          <w:highlight w:val="none"/>
        </w:rPr>
        <w:t>的违约金，逾期超过</w:t>
      </w:r>
      <w:r>
        <w:rPr>
          <w:rFonts w:hint="eastAsia" w:ascii="仿宋" w:hAnsi="仿宋" w:eastAsia="仿宋" w:cs="仿宋"/>
          <w:snapToGrid w:val="0"/>
          <w:kern w:val="0"/>
          <w:sz w:val="24"/>
          <w:szCs w:val="24"/>
          <w:highlight w:val="none"/>
          <w:u w:val="single"/>
        </w:rPr>
        <w:t xml:space="preserve"> 30 </w:t>
      </w:r>
      <w:r>
        <w:rPr>
          <w:rFonts w:hint="eastAsia" w:ascii="仿宋" w:hAnsi="仿宋" w:eastAsia="仿宋" w:cs="仿宋"/>
          <w:snapToGrid w:val="0"/>
          <w:kern w:val="0"/>
          <w:sz w:val="24"/>
          <w:szCs w:val="24"/>
          <w:highlight w:val="none"/>
        </w:rPr>
        <w:t>日的，乙方有权单方解除合同。</w:t>
      </w:r>
    </w:p>
    <w:p w14:paraId="7C28ED93">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9.2.4甲方违反合同约定的保密义务，应承担一切法律责任并向乙方支付相当于技术服务报酬</w:t>
      </w:r>
      <w:r>
        <w:rPr>
          <w:rFonts w:hint="eastAsia" w:ascii="仿宋" w:hAnsi="仿宋" w:eastAsia="仿宋" w:cs="仿宋"/>
          <w:snapToGrid w:val="0"/>
          <w:kern w:val="0"/>
          <w:sz w:val="24"/>
          <w:szCs w:val="24"/>
          <w:highlight w:val="none"/>
          <w:u w:val="single"/>
        </w:rPr>
        <w:t xml:space="preserve"> 5 </w:t>
      </w:r>
      <w:r>
        <w:rPr>
          <w:rFonts w:hint="eastAsia" w:ascii="仿宋" w:hAnsi="仿宋" w:eastAsia="仿宋" w:cs="仿宋"/>
          <w:snapToGrid w:val="0"/>
          <w:kern w:val="0"/>
          <w:sz w:val="24"/>
          <w:szCs w:val="24"/>
          <w:highlight w:val="none"/>
        </w:rPr>
        <w:t>%的违约金。</w:t>
      </w:r>
    </w:p>
    <w:p w14:paraId="43C244E8">
      <w:pPr>
        <w:widowControl/>
        <w:spacing w:line="360" w:lineRule="auto"/>
        <w:ind w:firstLine="424" w:firstLineChars="177"/>
        <w:jc w:val="left"/>
        <w:rPr>
          <w:rFonts w:hint="default" w:ascii="仿宋" w:hAnsi="仿宋" w:eastAsia="仿宋" w:cs="仿宋"/>
          <w:snapToGrid w:val="0"/>
          <w:kern w:val="0"/>
          <w:sz w:val="24"/>
          <w:szCs w:val="24"/>
          <w:highlight w:val="none"/>
          <w:lang w:val="en-US"/>
        </w:rPr>
      </w:pPr>
      <w:r>
        <w:rPr>
          <w:rFonts w:hint="eastAsia" w:ascii="仿宋" w:hAnsi="仿宋" w:eastAsia="仿宋" w:cs="仿宋"/>
          <w:snapToGrid w:val="0"/>
          <w:kern w:val="0"/>
          <w:sz w:val="24"/>
          <w:szCs w:val="24"/>
          <w:highlight w:val="none"/>
          <w:lang w:val="en-US" w:eastAsia="zh-CN"/>
        </w:rPr>
        <w:t>9.3</w:t>
      </w:r>
      <w:r>
        <w:rPr>
          <w:rFonts w:hint="eastAsia" w:ascii="仿宋" w:hAnsi="仿宋" w:eastAsia="仿宋" w:cs="仿宋"/>
          <w:snapToGrid w:val="0"/>
          <w:kern w:val="0"/>
          <w:sz w:val="24"/>
          <w:szCs w:val="24"/>
          <w:highlight w:val="none"/>
          <w:lang w:eastAsia="zh-CN"/>
        </w:rPr>
        <w:t>违约方需承担守约方因主张权利产生的一切费用，包括但不限于诉讼费、律师代理费、保全费、保险费、误工费、公证费、鉴定费、交通食宿费等费用。</w:t>
      </w:r>
    </w:p>
    <w:p w14:paraId="28E3E24D">
      <w:pPr>
        <w:widowControl/>
        <w:spacing w:line="360" w:lineRule="auto"/>
        <w:jc w:val="left"/>
        <w:rPr>
          <w:rFonts w:hint="eastAsia" w:ascii="仿宋" w:hAnsi="仿宋" w:eastAsia="仿宋" w:cs="仿宋"/>
          <w:b/>
          <w:bCs/>
          <w:snapToGrid w:val="0"/>
          <w:kern w:val="0"/>
          <w:sz w:val="28"/>
          <w:szCs w:val="28"/>
          <w:highlight w:val="none"/>
        </w:rPr>
      </w:pPr>
      <w:bookmarkStart w:id="11" w:name="_Toc363053367"/>
      <w:r>
        <w:rPr>
          <w:rFonts w:hint="eastAsia" w:ascii="仿宋" w:hAnsi="仿宋" w:eastAsia="仿宋" w:cs="仿宋"/>
          <w:b/>
          <w:bCs/>
          <w:snapToGrid w:val="0"/>
          <w:kern w:val="0"/>
          <w:sz w:val="28"/>
          <w:szCs w:val="28"/>
          <w:highlight w:val="none"/>
          <w:lang w:val="en-US" w:eastAsia="zh-CN"/>
        </w:rPr>
        <w:t>十、</w:t>
      </w:r>
      <w:r>
        <w:rPr>
          <w:rFonts w:hint="eastAsia" w:ascii="仿宋" w:hAnsi="仿宋" w:eastAsia="仿宋" w:cs="仿宋"/>
          <w:b/>
          <w:bCs/>
          <w:snapToGrid w:val="0"/>
          <w:kern w:val="0"/>
          <w:sz w:val="28"/>
          <w:szCs w:val="28"/>
          <w:highlight w:val="none"/>
        </w:rPr>
        <w:t>合同变更和解除</w:t>
      </w:r>
      <w:bookmarkEnd w:id="11"/>
    </w:p>
    <w:p w14:paraId="4F7B5FF0">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10.1双方经协商一致可变更或解除合同，并以书面形式确定。</w:t>
      </w:r>
    </w:p>
    <w:p w14:paraId="0FFCDEED">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10.2有下列情形之一的，一方可以向另一方提出变更或解除合同的书面请求，另一方应当在10日内予以书面答复；逾期未予书面答复的，视为同意：</w:t>
      </w:r>
    </w:p>
    <w:p w14:paraId="5372D348">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 xml:space="preserve">（1）因对方违约使合同不能继续履行或没有必要继续履行；     </w:t>
      </w:r>
    </w:p>
    <w:p w14:paraId="0C163DD5">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（2）</w:t>
      </w:r>
      <w:r>
        <w:rPr>
          <w:rFonts w:hint="eastAsia" w:ascii="仿宋" w:hAnsi="仿宋" w:eastAsia="仿宋" w:cs="仿宋"/>
          <w:snapToGrid w:val="0"/>
          <w:kern w:val="0"/>
          <w:sz w:val="24"/>
          <w:szCs w:val="24"/>
          <w:highlight w:val="none"/>
          <w:u w:val="single"/>
        </w:rPr>
        <w:t>因非乙方原因长期不执行合同内容的（两年以上）</w:t>
      </w:r>
      <w:r>
        <w:rPr>
          <w:rFonts w:hint="eastAsia" w:ascii="仿宋" w:hAnsi="仿宋" w:eastAsia="仿宋" w:cs="仿宋"/>
          <w:snapToGrid w:val="0"/>
          <w:kern w:val="0"/>
          <w:sz w:val="24"/>
          <w:szCs w:val="24"/>
          <w:highlight w:val="none"/>
        </w:rPr>
        <w:t>。</w:t>
      </w:r>
    </w:p>
    <w:p w14:paraId="5F12A43D">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10.3法律规定的合同解除情形出现时，一方主张解除合同的，应当书面通知对方。合同自通知到达对方时解除。</w:t>
      </w:r>
    </w:p>
    <w:p w14:paraId="684D5C75">
      <w:pPr>
        <w:widowControl/>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10.4本合同中约定可单方解除合同的，单方解除合同的条件成就时，享有解除权的一方可单方解除合同，但应书面通知对方。合同自通知到达对方时解除。</w:t>
      </w:r>
    </w:p>
    <w:p w14:paraId="7468C84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十一、</w:t>
      </w:r>
      <w:r>
        <w:rPr>
          <w:rFonts w:hint="eastAsia" w:ascii="仿宋" w:hAnsi="仿宋" w:eastAsia="仿宋" w:cs="仿宋"/>
          <w:b/>
          <w:bCs/>
          <w:sz w:val="28"/>
          <w:szCs w:val="28"/>
          <w:highlight w:val="none"/>
        </w:rPr>
        <w:t>送达</w:t>
      </w:r>
      <w:r>
        <w:rPr>
          <w:rFonts w:hint="eastAsia" w:ascii="仿宋" w:hAnsi="仿宋" w:eastAsia="仿宋" w:cs="仿宋"/>
          <w:b/>
          <w:bCs/>
          <w:sz w:val="28"/>
          <w:szCs w:val="28"/>
          <w:highlight w:val="none"/>
          <w:lang w:val="en-US" w:eastAsia="zh-CN"/>
        </w:rPr>
        <w:t>条款</w:t>
      </w:r>
    </w:p>
    <w:p w14:paraId="08BD79A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snapToGrid w:val="0"/>
          <w:kern w:val="0"/>
          <w:sz w:val="24"/>
          <w:szCs w:val="24"/>
          <w:highlight w:val="none"/>
        </w:rPr>
      </w:pPr>
      <w:r>
        <w:rPr>
          <w:rFonts w:hint="eastAsia" w:ascii="仿宋" w:hAnsi="仿宋" w:eastAsia="仿宋" w:cs="仿宋"/>
          <w:sz w:val="24"/>
          <w:szCs w:val="24"/>
          <w:highlight w:val="none"/>
          <w:lang w:eastAsia="zh-CN"/>
        </w:rPr>
        <w:t>双方均同意将本协议</w:t>
      </w:r>
      <w:r>
        <w:rPr>
          <w:rFonts w:hint="eastAsia" w:ascii="仿宋" w:hAnsi="仿宋" w:eastAsia="仿宋" w:cs="仿宋"/>
          <w:sz w:val="24"/>
          <w:szCs w:val="24"/>
          <w:highlight w:val="none"/>
          <w:lang w:val="en-US" w:eastAsia="zh-CN"/>
        </w:rPr>
        <w:t>首页中</w:t>
      </w:r>
      <w:r>
        <w:rPr>
          <w:rFonts w:hint="eastAsia" w:ascii="仿宋" w:hAnsi="仿宋" w:eastAsia="仿宋" w:cs="仿宋"/>
          <w:sz w:val="24"/>
          <w:szCs w:val="24"/>
          <w:highlight w:val="none"/>
          <w:lang w:eastAsia="zh-CN"/>
        </w:rPr>
        <w:t>的</w:t>
      </w:r>
      <w:r>
        <w:rPr>
          <w:rFonts w:hint="eastAsia" w:ascii="仿宋" w:hAnsi="仿宋" w:eastAsia="仿宋" w:cs="仿宋"/>
          <w:sz w:val="24"/>
          <w:szCs w:val="24"/>
          <w:highlight w:val="none"/>
          <w:lang w:val="en-US" w:eastAsia="zh-CN"/>
        </w:rPr>
        <w:t>通讯</w:t>
      </w:r>
      <w:r>
        <w:rPr>
          <w:rFonts w:hint="eastAsia" w:ascii="仿宋" w:hAnsi="仿宋" w:eastAsia="仿宋" w:cs="仿宋"/>
          <w:sz w:val="24"/>
          <w:szCs w:val="24"/>
          <w:highlight w:val="none"/>
          <w:lang w:eastAsia="zh-CN"/>
        </w:rPr>
        <w:t>地址作为</w:t>
      </w:r>
      <w:r>
        <w:rPr>
          <w:rFonts w:hint="eastAsia" w:ascii="仿宋" w:hAnsi="仿宋" w:eastAsia="仿宋" w:cs="仿宋"/>
          <w:sz w:val="24"/>
          <w:szCs w:val="24"/>
          <w:highlight w:val="none"/>
          <w:lang w:val="en-US" w:eastAsia="zh-CN"/>
        </w:rPr>
        <w:t>往来函件和法律文书</w:t>
      </w:r>
      <w:r>
        <w:rPr>
          <w:rFonts w:hint="eastAsia" w:ascii="仿宋" w:hAnsi="仿宋" w:eastAsia="仿宋" w:cs="仿宋"/>
          <w:sz w:val="24"/>
          <w:szCs w:val="24"/>
          <w:highlight w:val="none"/>
          <w:lang w:eastAsia="zh-CN"/>
        </w:rPr>
        <w:t>送达地址，并自愿承担由此带来的一切法律后果。一方地址变更的，应及时书面通知另一方，双方因载明的地址有误或未及时项对方告知变更后地址，导致相关文书及诉讼文书未能被实际接受的、邮寄送达的，相关文书及诉讼文书退回之日即视为送达之日。</w:t>
      </w:r>
    </w:p>
    <w:p w14:paraId="3DD33BA1">
      <w:pPr>
        <w:widowControl/>
        <w:spacing w:line="360" w:lineRule="auto"/>
        <w:jc w:val="left"/>
        <w:rPr>
          <w:rFonts w:hint="eastAsia" w:ascii="仿宋" w:hAnsi="仿宋" w:eastAsia="仿宋" w:cs="仿宋"/>
          <w:b/>
          <w:bCs/>
          <w:snapToGrid w:val="0"/>
          <w:kern w:val="0"/>
          <w:sz w:val="28"/>
          <w:szCs w:val="28"/>
          <w:highlight w:val="none"/>
        </w:rPr>
      </w:pPr>
      <w:bookmarkStart w:id="12" w:name="_Toc363053368"/>
      <w:r>
        <w:rPr>
          <w:rFonts w:hint="eastAsia" w:ascii="仿宋" w:hAnsi="仿宋" w:eastAsia="仿宋" w:cs="仿宋"/>
          <w:b/>
          <w:bCs/>
          <w:snapToGrid w:val="0"/>
          <w:kern w:val="0"/>
          <w:sz w:val="28"/>
          <w:szCs w:val="28"/>
          <w:highlight w:val="none"/>
          <w:lang w:val="en-US" w:eastAsia="zh-CN"/>
        </w:rPr>
        <w:t>十二、</w:t>
      </w:r>
      <w:r>
        <w:rPr>
          <w:rFonts w:hint="eastAsia" w:ascii="仿宋" w:hAnsi="仿宋" w:eastAsia="仿宋" w:cs="仿宋"/>
          <w:b/>
          <w:bCs/>
          <w:snapToGrid w:val="0"/>
          <w:kern w:val="0"/>
          <w:sz w:val="28"/>
          <w:szCs w:val="28"/>
          <w:highlight w:val="none"/>
        </w:rPr>
        <w:t>争议解决</w:t>
      </w:r>
      <w:bookmarkEnd w:id="12"/>
    </w:p>
    <w:p w14:paraId="74529308">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11.1因合同及合同有关事项发生的争议，双方应本着诚实信用原则，通过友好协商解决，经协商仍无法达成一致的，向</w:t>
      </w:r>
      <w:r>
        <w:rPr>
          <w:rFonts w:hint="eastAsia" w:ascii="仿宋" w:hAnsi="仿宋" w:eastAsia="仿宋" w:cs="仿宋"/>
          <w:sz w:val="24"/>
          <w:szCs w:val="24"/>
          <w:highlight w:val="none"/>
          <w:u w:val="single"/>
        </w:rPr>
        <w:t xml:space="preserve"> 甲方 </w:t>
      </w:r>
      <w:r>
        <w:rPr>
          <w:rFonts w:hint="eastAsia" w:ascii="仿宋" w:hAnsi="仿宋" w:eastAsia="仿宋" w:cs="仿宋"/>
          <w:sz w:val="24"/>
          <w:szCs w:val="24"/>
          <w:highlight w:val="none"/>
        </w:rPr>
        <w:t>所在地人民法院提起诉讼。</w:t>
      </w:r>
    </w:p>
    <w:p w14:paraId="34FCEC48">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11.2在争议解决期间，合同中未涉及争议部分的条款仍须履行。 </w:t>
      </w:r>
    </w:p>
    <w:p w14:paraId="12CC7570">
      <w:pPr>
        <w:spacing w:line="360" w:lineRule="auto"/>
        <w:jc w:val="left"/>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十三、</w:t>
      </w:r>
      <w:r>
        <w:rPr>
          <w:rFonts w:hint="eastAsia" w:ascii="仿宋" w:hAnsi="仿宋" w:eastAsia="仿宋" w:cs="仿宋"/>
          <w:b/>
          <w:bCs/>
          <w:sz w:val="28"/>
          <w:szCs w:val="28"/>
          <w:highlight w:val="none"/>
        </w:rPr>
        <w:t>不可抗力</w:t>
      </w:r>
    </w:p>
    <w:p w14:paraId="2D193A12">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1、本合同所指的不可抗力是指不能预见、不能避免并不能克服的客观情况，包括但不限于自然灾害、战争、武装冲突、社会动乱、暴乱、全国性或区域性疫情及其他按照本条的定义构成不可抗力的其他事件。</w:t>
      </w:r>
    </w:p>
    <w:p w14:paraId="14EF3CA1">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2、若不可抗力的发生完全或部分地妨碍一方履行本合同项下的任何义务，则该方可免除或延迟履行其义务，但前提是：</w:t>
      </w:r>
    </w:p>
    <w:p w14:paraId="260A42AB">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（1）免除或延迟履行的范围和时间不超过消除不可抗力影响的合理需要；</w:t>
      </w:r>
    </w:p>
    <w:p w14:paraId="161DFFEC">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（2）受不可抗力影响的一方应继续履行本合同项下未受不可抗力影响的其他义务，包括所有到期付款的义务；</w:t>
      </w:r>
    </w:p>
    <w:p w14:paraId="68D6FE3F">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（3）一旦不可抗力结束，该方应尽快恢复履行本合同。</w:t>
      </w:r>
    </w:p>
    <w:p w14:paraId="4602B506">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3、若任何一方因不可抗力而不能履行本合同，则该方应立即告知另一方。</w:t>
      </w:r>
    </w:p>
    <w:p w14:paraId="39B0FA2E">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4、受不可抗力影响方应采取合理措施，减少因不可抗力带来的损失。合同双方应及时协商制定并实施补救计划及合理的替代措施以减少或消除不可抗力的影响。</w:t>
      </w:r>
    </w:p>
    <w:p w14:paraId="51564743">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5、如果不可抗力阻碍受影响方履行义务持续超过120日（含本数），合同双方应协商决定继续履行本合同的条款或终止本合同。</w:t>
      </w:r>
    </w:p>
    <w:p w14:paraId="5CC70F21">
      <w:pPr>
        <w:spacing w:line="360" w:lineRule="auto"/>
        <w:ind w:firstLine="424" w:firstLineChars="177"/>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6、因政府行为、法律或国家政策发生重大变更，导致合同一方或双方不能完成本合同项下的义务，合同双方应本着公平合理的原则尽快协商解决。必要时，签订合同修改变更协议。</w:t>
      </w:r>
    </w:p>
    <w:p w14:paraId="51F4AB6B">
      <w:pPr>
        <w:spacing w:line="360" w:lineRule="auto"/>
        <w:jc w:val="left"/>
        <w:rPr>
          <w:rFonts w:hint="eastAsia" w:ascii="仿宋" w:hAnsi="仿宋" w:eastAsia="仿宋" w:cs="仿宋"/>
          <w:b/>
          <w:bCs/>
          <w:sz w:val="28"/>
          <w:szCs w:val="28"/>
          <w:highlight w:val="none"/>
        </w:rPr>
      </w:pPr>
      <w:bookmarkStart w:id="13" w:name="_Toc374455095"/>
      <w:bookmarkStart w:id="14" w:name="_Toc363053371"/>
      <w:bookmarkStart w:id="15" w:name="_Toc332123376"/>
      <w:bookmarkStart w:id="16" w:name="_Toc251677240"/>
      <w:r>
        <w:rPr>
          <w:rFonts w:hint="eastAsia" w:ascii="仿宋" w:hAnsi="仿宋" w:eastAsia="仿宋" w:cs="仿宋"/>
          <w:b/>
          <w:bCs/>
          <w:sz w:val="28"/>
          <w:szCs w:val="28"/>
          <w:highlight w:val="none"/>
          <w:lang w:val="en-US" w:eastAsia="zh-CN"/>
        </w:rPr>
        <w:t>十四、</w:t>
      </w:r>
      <w:r>
        <w:rPr>
          <w:rFonts w:hint="eastAsia" w:ascii="仿宋" w:hAnsi="仿宋" w:eastAsia="仿宋" w:cs="仿宋"/>
          <w:b/>
          <w:bCs/>
          <w:sz w:val="28"/>
          <w:szCs w:val="28"/>
          <w:highlight w:val="none"/>
        </w:rPr>
        <w:t>其他</w:t>
      </w:r>
      <w:bookmarkEnd w:id="13"/>
      <w:bookmarkEnd w:id="14"/>
      <w:r>
        <w:rPr>
          <w:rFonts w:hint="eastAsia" w:ascii="仿宋" w:hAnsi="仿宋" w:eastAsia="仿宋" w:cs="仿宋"/>
          <w:b/>
          <w:bCs/>
          <w:sz w:val="28"/>
          <w:szCs w:val="28"/>
          <w:highlight w:val="none"/>
        </w:rPr>
        <w:t xml:space="preserve"> </w:t>
      </w:r>
    </w:p>
    <w:p w14:paraId="3E2B1FE4">
      <w:pPr>
        <w:spacing w:line="360" w:lineRule="auto"/>
        <w:ind w:firstLine="424" w:firstLineChars="177"/>
        <w:jc w:val="left"/>
        <w:rPr>
          <w:rFonts w:hint="eastAsia" w:ascii="仿宋" w:hAnsi="仿宋" w:eastAsia="仿宋" w:cs="仿宋"/>
          <w:snapToGrid w:val="0"/>
          <w:kern w:val="0"/>
          <w:sz w:val="24"/>
          <w:szCs w:val="24"/>
          <w:highlight w:val="none"/>
        </w:rPr>
      </w:pPr>
      <w:r>
        <w:rPr>
          <w:rFonts w:hint="eastAsia" w:ascii="仿宋" w:hAnsi="仿宋" w:eastAsia="仿宋" w:cs="仿宋"/>
          <w:sz w:val="24"/>
          <w:szCs w:val="24"/>
          <w:highlight w:val="none"/>
        </w:rPr>
        <w:t>13.1本合同经双方法定代表人（负责人</w:t>
      </w:r>
      <w:r>
        <w:rPr>
          <w:rFonts w:hint="eastAsia" w:ascii="仿宋" w:hAnsi="仿宋" w:eastAsia="仿宋" w:cs="仿宋"/>
          <w:snapToGrid w:val="0"/>
          <w:kern w:val="0"/>
          <w:sz w:val="24"/>
          <w:szCs w:val="24"/>
          <w:highlight w:val="none"/>
        </w:rPr>
        <w:t>）或其授权代表签署并加盖双方公章或合同专用章之日起生效。合同签订日期以双方中最后一方签署并加盖公章或合同专用章的日期为准。</w:t>
      </w:r>
    </w:p>
    <w:bookmarkEnd w:id="15"/>
    <w:bookmarkEnd w:id="16"/>
    <w:p w14:paraId="1C9F085A">
      <w:pPr>
        <w:widowControl/>
        <w:spacing w:line="360" w:lineRule="auto"/>
        <w:ind w:firstLine="424" w:firstLineChars="177"/>
        <w:jc w:val="left"/>
        <w:rPr>
          <w:rFonts w:hint="eastAsia" w:ascii="仿宋" w:hAnsi="仿宋" w:eastAsia="仿宋" w:cs="仿宋"/>
          <w:snapToGrid w:val="0"/>
          <w:kern w:val="0"/>
          <w:sz w:val="24"/>
          <w:szCs w:val="24"/>
          <w:highlight w:val="none"/>
        </w:rPr>
      </w:pPr>
      <w:bookmarkStart w:id="17" w:name="_Toc239498608"/>
      <w:bookmarkStart w:id="18" w:name="_Toc246906537"/>
      <w:bookmarkStart w:id="19" w:name="_Toc332123379"/>
      <w:bookmarkStart w:id="20" w:name="_Toc239494036"/>
      <w:r>
        <w:rPr>
          <w:rFonts w:hint="eastAsia" w:ascii="仿宋" w:hAnsi="仿宋" w:eastAsia="仿宋" w:cs="仿宋"/>
          <w:snapToGrid w:val="0"/>
          <w:kern w:val="0"/>
          <w:sz w:val="24"/>
          <w:szCs w:val="24"/>
          <w:highlight w:val="none"/>
        </w:rPr>
        <w:t>13.2本合同一式</w:t>
      </w:r>
      <w:r>
        <w:rPr>
          <w:rFonts w:hint="eastAsia" w:ascii="仿宋" w:hAnsi="仿宋" w:eastAsia="仿宋" w:cs="仿宋"/>
          <w:snapToGrid w:val="0"/>
          <w:kern w:val="0"/>
          <w:sz w:val="24"/>
          <w:szCs w:val="24"/>
          <w:highlight w:val="none"/>
          <w:u w:val="single"/>
        </w:rPr>
        <w:t xml:space="preserve"> 肆 </w:t>
      </w:r>
      <w:r>
        <w:rPr>
          <w:rFonts w:hint="eastAsia" w:ascii="仿宋" w:hAnsi="仿宋" w:eastAsia="仿宋" w:cs="仿宋"/>
          <w:snapToGrid w:val="0"/>
          <w:kern w:val="0"/>
          <w:sz w:val="24"/>
          <w:szCs w:val="24"/>
          <w:highlight w:val="none"/>
        </w:rPr>
        <w:t>份，甲方执</w:t>
      </w:r>
      <w:r>
        <w:rPr>
          <w:rFonts w:hint="eastAsia" w:ascii="仿宋" w:hAnsi="仿宋" w:eastAsia="仿宋" w:cs="仿宋"/>
          <w:snapToGrid w:val="0"/>
          <w:kern w:val="0"/>
          <w:sz w:val="24"/>
          <w:szCs w:val="24"/>
          <w:highlight w:val="none"/>
          <w:u w:val="single"/>
        </w:rPr>
        <w:t xml:space="preserve"> 两 </w:t>
      </w:r>
      <w:r>
        <w:rPr>
          <w:rFonts w:hint="eastAsia" w:ascii="仿宋" w:hAnsi="仿宋" w:eastAsia="仿宋" w:cs="仿宋"/>
          <w:snapToGrid w:val="0"/>
          <w:kern w:val="0"/>
          <w:sz w:val="24"/>
          <w:szCs w:val="24"/>
          <w:highlight w:val="none"/>
        </w:rPr>
        <w:t>份，乙方执</w:t>
      </w:r>
      <w:r>
        <w:rPr>
          <w:rFonts w:hint="eastAsia" w:ascii="仿宋" w:hAnsi="仿宋" w:eastAsia="仿宋" w:cs="仿宋"/>
          <w:b/>
          <w:snapToGrid w:val="0"/>
          <w:kern w:val="0"/>
          <w:sz w:val="24"/>
          <w:szCs w:val="24"/>
          <w:highlight w:val="none"/>
          <w:u w:val="single"/>
        </w:rPr>
        <w:t xml:space="preserve"> </w:t>
      </w:r>
      <w:r>
        <w:rPr>
          <w:rFonts w:hint="eastAsia" w:ascii="仿宋" w:hAnsi="仿宋" w:eastAsia="仿宋" w:cs="仿宋"/>
          <w:snapToGrid w:val="0"/>
          <w:kern w:val="0"/>
          <w:sz w:val="24"/>
          <w:szCs w:val="24"/>
          <w:highlight w:val="none"/>
          <w:u w:val="single"/>
        </w:rPr>
        <w:t>两</w:t>
      </w:r>
      <w:r>
        <w:rPr>
          <w:rFonts w:hint="eastAsia" w:ascii="仿宋" w:hAnsi="仿宋" w:eastAsia="仿宋" w:cs="仿宋"/>
          <w:b/>
          <w:snapToGrid w:val="0"/>
          <w:kern w:val="0"/>
          <w:sz w:val="24"/>
          <w:szCs w:val="24"/>
          <w:highlight w:val="none"/>
          <w:u w:val="single"/>
        </w:rPr>
        <w:t xml:space="preserve"> </w:t>
      </w:r>
      <w:r>
        <w:rPr>
          <w:rFonts w:hint="eastAsia" w:ascii="仿宋" w:hAnsi="仿宋" w:eastAsia="仿宋" w:cs="仿宋"/>
          <w:snapToGrid w:val="0"/>
          <w:kern w:val="0"/>
          <w:sz w:val="24"/>
          <w:szCs w:val="24"/>
          <w:highlight w:val="none"/>
        </w:rPr>
        <w:t>份，具有同等法律效力。</w:t>
      </w:r>
      <w:bookmarkEnd w:id="17"/>
      <w:bookmarkEnd w:id="18"/>
      <w:bookmarkEnd w:id="19"/>
      <w:bookmarkEnd w:id="20"/>
    </w:p>
    <w:p w14:paraId="0F94BB97">
      <w:pPr>
        <w:widowControl/>
        <w:spacing w:line="480" w:lineRule="exact"/>
        <w:ind w:firstLine="560" w:firstLineChars="200"/>
        <w:rPr>
          <w:rFonts w:hint="eastAsia" w:ascii="仿宋" w:hAnsi="仿宋" w:eastAsia="仿宋" w:cs="仿宋"/>
          <w:snapToGrid w:val="0"/>
          <w:kern w:val="0"/>
          <w:sz w:val="28"/>
          <w:highlight w:val="none"/>
        </w:rPr>
      </w:pPr>
      <w:r>
        <w:rPr>
          <w:rFonts w:hint="eastAsia" w:ascii="仿宋" w:hAnsi="仿宋" w:eastAsia="仿宋" w:cs="仿宋"/>
          <w:snapToGrid w:val="0"/>
          <w:kern w:val="0"/>
          <w:sz w:val="28"/>
          <w:highlight w:val="none"/>
        </w:rPr>
        <w:t xml:space="preserve">    （以下无正文）</w:t>
      </w:r>
    </w:p>
    <w:p w14:paraId="573A2ACA">
      <w:pPr>
        <w:widowControl/>
        <w:spacing w:line="480" w:lineRule="exact"/>
        <w:ind w:firstLine="3200" w:firstLineChars="1000"/>
        <w:rPr>
          <w:rFonts w:hint="eastAsia" w:ascii="仿宋" w:hAnsi="仿宋" w:eastAsia="仿宋" w:cs="仿宋"/>
          <w:b/>
          <w:sz w:val="32"/>
          <w:highlight w:val="none"/>
        </w:rPr>
        <w:sectPr>
          <w:footerReference r:id="rId3" w:type="default"/>
          <w:pgSz w:w="11906" w:h="16838"/>
          <w:pgMar w:top="1440" w:right="1558" w:bottom="1440" w:left="1797" w:header="851" w:footer="992" w:gutter="0"/>
          <w:cols w:space="720" w:num="1"/>
          <w:docGrid w:type="linesAndChars" w:linePitch="312" w:charSpace="0"/>
        </w:sectPr>
      </w:pPr>
    </w:p>
    <w:p w14:paraId="76305EEE">
      <w:pPr>
        <w:widowControl/>
        <w:spacing w:line="480" w:lineRule="exact"/>
        <w:ind w:firstLine="3200" w:firstLineChars="1000"/>
        <w:rPr>
          <w:rFonts w:hint="eastAsia" w:ascii="仿宋" w:hAnsi="仿宋" w:eastAsia="仿宋" w:cs="仿宋"/>
          <w:snapToGrid w:val="0"/>
          <w:kern w:val="0"/>
          <w:sz w:val="32"/>
          <w:szCs w:val="32"/>
          <w:highlight w:val="none"/>
        </w:rPr>
      </w:pPr>
      <w:r>
        <w:rPr>
          <w:rFonts w:hint="eastAsia" w:ascii="仿宋" w:hAnsi="仿宋" w:eastAsia="仿宋" w:cs="仿宋"/>
          <w:b/>
          <w:sz w:val="32"/>
          <w:szCs w:val="32"/>
          <w:highlight w:val="none"/>
        </w:rPr>
        <w:t>签  署  页</w:t>
      </w:r>
    </w:p>
    <w:p w14:paraId="4E83A359">
      <w:pPr>
        <w:widowControl/>
        <w:tabs>
          <w:tab w:val="left" w:pos="4253"/>
        </w:tabs>
        <w:spacing w:line="480" w:lineRule="exact"/>
        <w:ind w:firstLine="480" w:firstLineChars="200"/>
        <w:rPr>
          <w:rFonts w:hint="eastAsia" w:ascii="仿宋" w:hAnsi="仿宋" w:eastAsia="仿宋" w:cs="仿宋"/>
          <w:snapToGrid w:val="0"/>
          <w:kern w:val="0"/>
          <w:sz w:val="24"/>
          <w:szCs w:val="24"/>
          <w:highlight w:val="none"/>
        </w:rPr>
      </w:pPr>
    </w:p>
    <w:tbl>
      <w:tblPr>
        <w:tblStyle w:val="7"/>
        <w:tblW w:w="9214" w:type="dxa"/>
        <w:jc w:val="center"/>
        <w:tblLayout w:type="fixed"/>
        <w:tblCellMar>
          <w:top w:w="0" w:type="dxa"/>
          <w:left w:w="108" w:type="dxa"/>
          <w:bottom w:w="0" w:type="dxa"/>
          <w:right w:w="108" w:type="dxa"/>
        </w:tblCellMar>
      </w:tblPr>
      <w:tblGrid>
        <w:gridCol w:w="5103"/>
        <w:gridCol w:w="4111"/>
      </w:tblGrid>
      <w:tr w14:paraId="416D644D">
        <w:tblPrEx>
          <w:tblCellMar>
            <w:top w:w="0" w:type="dxa"/>
            <w:left w:w="108" w:type="dxa"/>
            <w:bottom w:w="0" w:type="dxa"/>
            <w:right w:w="108" w:type="dxa"/>
          </w:tblCellMar>
        </w:tblPrEx>
        <w:trPr>
          <w:cantSplit/>
          <w:jc w:val="center"/>
        </w:trPr>
        <w:tc>
          <w:tcPr>
            <w:tcW w:w="5103" w:type="dxa"/>
            <w:vAlign w:val="center"/>
          </w:tcPr>
          <w:p w14:paraId="27FD872B">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 xml:space="preserve">甲方： （盖章）   </w:t>
            </w:r>
          </w:p>
        </w:tc>
        <w:tc>
          <w:tcPr>
            <w:tcW w:w="4111" w:type="dxa"/>
            <w:vAlign w:val="center"/>
          </w:tcPr>
          <w:p w14:paraId="7FB9617B">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乙方： 新疆清能电力科技有限责任公司（盖章）</w:t>
            </w:r>
          </w:p>
        </w:tc>
      </w:tr>
      <w:tr w14:paraId="66FD6A76">
        <w:tblPrEx>
          <w:tblCellMar>
            <w:top w:w="0" w:type="dxa"/>
            <w:left w:w="108" w:type="dxa"/>
            <w:bottom w:w="0" w:type="dxa"/>
            <w:right w:w="108" w:type="dxa"/>
          </w:tblCellMar>
        </w:tblPrEx>
        <w:trPr>
          <w:cantSplit/>
          <w:jc w:val="center"/>
        </w:trPr>
        <w:tc>
          <w:tcPr>
            <w:tcW w:w="5103" w:type="dxa"/>
            <w:vAlign w:val="center"/>
          </w:tcPr>
          <w:p w14:paraId="0A68B35C">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法定代表人(负责人)或</w:t>
            </w:r>
          </w:p>
          <w:p w14:paraId="70873EFA">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授权代表（签字）：</w:t>
            </w:r>
          </w:p>
        </w:tc>
        <w:tc>
          <w:tcPr>
            <w:tcW w:w="4111" w:type="dxa"/>
            <w:vAlign w:val="center"/>
          </w:tcPr>
          <w:p w14:paraId="434EC58C">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法定代表人（负责人）或</w:t>
            </w:r>
          </w:p>
          <w:p w14:paraId="566ABF19">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授权代表（签字）：</w:t>
            </w:r>
          </w:p>
        </w:tc>
      </w:tr>
      <w:tr w14:paraId="62E61BE0">
        <w:tblPrEx>
          <w:tblCellMar>
            <w:top w:w="0" w:type="dxa"/>
            <w:left w:w="108" w:type="dxa"/>
            <w:bottom w:w="0" w:type="dxa"/>
            <w:right w:w="108" w:type="dxa"/>
          </w:tblCellMar>
        </w:tblPrEx>
        <w:trPr>
          <w:cantSplit/>
          <w:jc w:val="center"/>
        </w:trPr>
        <w:tc>
          <w:tcPr>
            <w:tcW w:w="5103" w:type="dxa"/>
            <w:vAlign w:val="center"/>
          </w:tcPr>
          <w:p w14:paraId="4007E37F">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签订日期：</w:t>
            </w:r>
          </w:p>
        </w:tc>
        <w:tc>
          <w:tcPr>
            <w:tcW w:w="4111" w:type="dxa"/>
            <w:vAlign w:val="center"/>
          </w:tcPr>
          <w:p w14:paraId="2CF896DB">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签订日期：</w:t>
            </w:r>
          </w:p>
        </w:tc>
      </w:tr>
      <w:tr w14:paraId="3A4D6CAE">
        <w:tblPrEx>
          <w:tblCellMar>
            <w:top w:w="0" w:type="dxa"/>
            <w:left w:w="108" w:type="dxa"/>
            <w:bottom w:w="0" w:type="dxa"/>
            <w:right w:w="108" w:type="dxa"/>
          </w:tblCellMar>
        </w:tblPrEx>
        <w:trPr>
          <w:cantSplit/>
          <w:jc w:val="center"/>
        </w:trPr>
        <w:tc>
          <w:tcPr>
            <w:tcW w:w="5103" w:type="dxa"/>
            <w:vAlign w:val="center"/>
          </w:tcPr>
          <w:p w14:paraId="67C86B7F">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 xml:space="preserve">地址： </w:t>
            </w:r>
          </w:p>
        </w:tc>
        <w:tc>
          <w:tcPr>
            <w:tcW w:w="4111" w:type="dxa"/>
            <w:vAlign w:val="center"/>
          </w:tcPr>
          <w:p w14:paraId="05D92838">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地址：</w:t>
            </w:r>
            <w:r>
              <w:rPr>
                <w:rFonts w:hint="eastAsia" w:ascii="仿宋" w:hAnsi="仿宋" w:eastAsia="仿宋" w:cs="仿宋"/>
                <w:snapToGrid w:val="0"/>
                <w:kern w:val="0"/>
                <w:sz w:val="24"/>
                <w:szCs w:val="24"/>
                <w:highlight w:val="none"/>
                <w:lang w:eastAsia="zh-CN"/>
              </w:rPr>
              <w:t>新疆乌鲁木齐高新区（新市区）杭州路街道长春中路1555号1501</w:t>
            </w:r>
            <w:r>
              <w:rPr>
                <w:rFonts w:hint="eastAsia" w:ascii="仿宋" w:hAnsi="仿宋" w:eastAsia="仿宋" w:cs="仿宋"/>
                <w:snapToGrid w:val="0"/>
                <w:kern w:val="0"/>
                <w:sz w:val="24"/>
                <w:szCs w:val="24"/>
                <w:highlight w:val="none"/>
              </w:rPr>
              <w:t>  </w:t>
            </w:r>
          </w:p>
        </w:tc>
      </w:tr>
      <w:tr w14:paraId="06221633">
        <w:tblPrEx>
          <w:tblCellMar>
            <w:top w:w="0" w:type="dxa"/>
            <w:left w:w="108" w:type="dxa"/>
            <w:bottom w:w="0" w:type="dxa"/>
            <w:right w:w="108" w:type="dxa"/>
          </w:tblCellMar>
        </w:tblPrEx>
        <w:trPr>
          <w:cantSplit/>
          <w:jc w:val="center"/>
        </w:trPr>
        <w:tc>
          <w:tcPr>
            <w:tcW w:w="5103" w:type="dxa"/>
            <w:vAlign w:val="center"/>
          </w:tcPr>
          <w:p w14:paraId="0ADE69D9">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联系人：</w:t>
            </w:r>
          </w:p>
        </w:tc>
        <w:tc>
          <w:tcPr>
            <w:tcW w:w="4111" w:type="dxa"/>
            <w:vAlign w:val="center"/>
          </w:tcPr>
          <w:p w14:paraId="403DE65B">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 xml:space="preserve">联系人：押晓添 </w:t>
            </w:r>
          </w:p>
        </w:tc>
      </w:tr>
      <w:tr w14:paraId="356370E2">
        <w:tblPrEx>
          <w:tblCellMar>
            <w:top w:w="0" w:type="dxa"/>
            <w:left w:w="108" w:type="dxa"/>
            <w:bottom w:w="0" w:type="dxa"/>
            <w:right w:w="108" w:type="dxa"/>
          </w:tblCellMar>
        </w:tblPrEx>
        <w:trPr>
          <w:cantSplit/>
          <w:jc w:val="center"/>
        </w:trPr>
        <w:tc>
          <w:tcPr>
            <w:tcW w:w="5103" w:type="dxa"/>
            <w:vAlign w:val="center"/>
          </w:tcPr>
          <w:p w14:paraId="399BFA14">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电话：</w:t>
            </w:r>
          </w:p>
          <w:p w14:paraId="088EF2C0">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p>
        </w:tc>
        <w:tc>
          <w:tcPr>
            <w:tcW w:w="4111" w:type="dxa"/>
            <w:vAlign w:val="center"/>
          </w:tcPr>
          <w:p w14:paraId="63F14A4C">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电话：13629249295</w:t>
            </w:r>
          </w:p>
        </w:tc>
      </w:tr>
      <w:tr w14:paraId="173A5B1E">
        <w:tblPrEx>
          <w:tblCellMar>
            <w:top w:w="0" w:type="dxa"/>
            <w:left w:w="108" w:type="dxa"/>
            <w:bottom w:w="0" w:type="dxa"/>
            <w:right w:w="108" w:type="dxa"/>
          </w:tblCellMar>
        </w:tblPrEx>
        <w:trPr>
          <w:cantSplit/>
          <w:jc w:val="center"/>
        </w:trPr>
        <w:tc>
          <w:tcPr>
            <w:tcW w:w="5103" w:type="dxa"/>
            <w:vAlign w:val="center"/>
          </w:tcPr>
          <w:p w14:paraId="07CE60A2">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传真:/</w:t>
            </w:r>
          </w:p>
        </w:tc>
        <w:tc>
          <w:tcPr>
            <w:tcW w:w="4111" w:type="dxa"/>
            <w:vAlign w:val="center"/>
          </w:tcPr>
          <w:p w14:paraId="267A6A85">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传真：/</w:t>
            </w:r>
          </w:p>
        </w:tc>
      </w:tr>
      <w:tr w14:paraId="783CD059">
        <w:tblPrEx>
          <w:tblCellMar>
            <w:top w:w="0" w:type="dxa"/>
            <w:left w:w="108" w:type="dxa"/>
            <w:bottom w:w="0" w:type="dxa"/>
            <w:right w:w="108" w:type="dxa"/>
          </w:tblCellMar>
        </w:tblPrEx>
        <w:trPr>
          <w:cantSplit/>
          <w:jc w:val="center"/>
        </w:trPr>
        <w:tc>
          <w:tcPr>
            <w:tcW w:w="5103" w:type="dxa"/>
            <w:vAlign w:val="center"/>
          </w:tcPr>
          <w:p w14:paraId="0D95ED43">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Email：/</w:t>
            </w:r>
          </w:p>
        </w:tc>
        <w:tc>
          <w:tcPr>
            <w:tcW w:w="4111" w:type="dxa"/>
            <w:vAlign w:val="center"/>
          </w:tcPr>
          <w:p w14:paraId="1CC40229">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Email：</w:t>
            </w:r>
            <w:r>
              <w:rPr>
                <w:rFonts w:hint="eastAsia" w:ascii="仿宋" w:hAnsi="仿宋" w:eastAsia="仿宋" w:cs="仿宋"/>
                <w:highlight w:val="none"/>
              </w:rPr>
              <w:t>/</w:t>
            </w:r>
          </w:p>
        </w:tc>
      </w:tr>
      <w:tr w14:paraId="575E0B58">
        <w:tblPrEx>
          <w:tblCellMar>
            <w:top w:w="0" w:type="dxa"/>
            <w:left w:w="108" w:type="dxa"/>
            <w:bottom w:w="0" w:type="dxa"/>
            <w:right w:w="108" w:type="dxa"/>
          </w:tblCellMar>
        </w:tblPrEx>
        <w:trPr>
          <w:cantSplit/>
          <w:jc w:val="center"/>
        </w:trPr>
        <w:tc>
          <w:tcPr>
            <w:tcW w:w="5103" w:type="dxa"/>
            <w:vAlign w:val="center"/>
          </w:tcPr>
          <w:p w14:paraId="20C1EF89">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开户银行：</w:t>
            </w:r>
          </w:p>
        </w:tc>
        <w:tc>
          <w:tcPr>
            <w:tcW w:w="4111" w:type="dxa"/>
            <w:vAlign w:val="center"/>
          </w:tcPr>
          <w:p w14:paraId="132E98B4">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开户银行：中国工商银行股份有限公司乌鲁木齐青年路支行</w:t>
            </w:r>
          </w:p>
        </w:tc>
      </w:tr>
      <w:tr w14:paraId="7AC72C02">
        <w:tblPrEx>
          <w:tblCellMar>
            <w:top w:w="0" w:type="dxa"/>
            <w:left w:w="108" w:type="dxa"/>
            <w:bottom w:w="0" w:type="dxa"/>
            <w:right w:w="108" w:type="dxa"/>
          </w:tblCellMar>
        </w:tblPrEx>
        <w:trPr>
          <w:cantSplit/>
          <w:jc w:val="center"/>
        </w:trPr>
        <w:tc>
          <w:tcPr>
            <w:tcW w:w="5103" w:type="dxa"/>
            <w:vAlign w:val="center"/>
          </w:tcPr>
          <w:p w14:paraId="023FA095">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账号：</w:t>
            </w:r>
          </w:p>
        </w:tc>
        <w:tc>
          <w:tcPr>
            <w:tcW w:w="4111" w:type="dxa"/>
            <w:vAlign w:val="center"/>
          </w:tcPr>
          <w:p w14:paraId="75D49E8D">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账号：3002011809200030330</w:t>
            </w:r>
          </w:p>
        </w:tc>
      </w:tr>
      <w:tr w14:paraId="17EF7420">
        <w:tblPrEx>
          <w:tblCellMar>
            <w:top w:w="0" w:type="dxa"/>
            <w:left w:w="108" w:type="dxa"/>
            <w:bottom w:w="0" w:type="dxa"/>
            <w:right w:w="108" w:type="dxa"/>
          </w:tblCellMar>
        </w:tblPrEx>
        <w:trPr>
          <w:cantSplit/>
          <w:jc w:val="center"/>
        </w:trPr>
        <w:tc>
          <w:tcPr>
            <w:tcW w:w="5103" w:type="dxa"/>
            <w:vAlign w:val="center"/>
          </w:tcPr>
          <w:p w14:paraId="7FAB3808">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p>
          <w:p w14:paraId="47AABB82">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统一社会信用代码：</w:t>
            </w:r>
          </w:p>
          <w:p w14:paraId="7F7ABD43">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p>
        </w:tc>
        <w:tc>
          <w:tcPr>
            <w:tcW w:w="4111" w:type="dxa"/>
            <w:vAlign w:val="center"/>
          </w:tcPr>
          <w:p w14:paraId="645C92C6">
            <w:pPr>
              <w:autoSpaceDE w:val="0"/>
              <w:autoSpaceDN w:val="0"/>
              <w:snapToGrid w:val="0"/>
              <w:spacing w:line="480" w:lineRule="exact"/>
              <w:ind w:right="-16"/>
              <w:jc w:val="left"/>
              <w:rPr>
                <w:rFonts w:hint="eastAsia" w:ascii="仿宋" w:hAnsi="仿宋" w:eastAsia="仿宋" w:cs="仿宋"/>
                <w:snapToGrid w:val="0"/>
                <w:kern w:val="0"/>
                <w:sz w:val="24"/>
                <w:szCs w:val="24"/>
                <w:highlight w:val="none"/>
              </w:rPr>
            </w:pPr>
            <w:r>
              <w:rPr>
                <w:rFonts w:hint="eastAsia" w:ascii="仿宋" w:hAnsi="仿宋" w:eastAsia="仿宋" w:cs="仿宋"/>
                <w:snapToGrid w:val="0"/>
                <w:kern w:val="0"/>
                <w:sz w:val="24"/>
                <w:szCs w:val="24"/>
                <w:highlight w:val="none"/>
              </w:rPr>
              <w:t>统一社会信用代码：91650100MA781J6U89</w:t>
            </w:r>
          </w:p>
        </w:tc>
      </w:tr>
    </w:tbl>
    <w:p w14:paraId="1CCBC15E">
      <w:pPr>
        <w:rPr>
          <w:rFonts w:hint="eastAsia" w:ascii="仿宋" w:hAnsi="仿宋" w:eastAsia="仿宋" w:cs="仿宋"/>
          <w:sz w:val="24"/>
          <w:szCs w:val="24"/>
          <w:highlight w:val="none"/>
        </w:rPr>
      </w:pPr>
    </w:p>
    <w:sectPr>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CD792">
    <w:pPr>
      <w:pStyle w:val="3"/>
      <w:jc w:val="center"/>
    </w:pPr>
    <w:r>
      <w:fldChar w:fldCharType="begin"/>
    </w:r>
    <w:r>
      <w:rPr>
        <w:rStyle w:val="10"/>
      </w:rPr>
      <w:instrText xml:space="preserve"> PAGE </w:instrText>
    </w:r>
    <w:r>
      <w:fldChar w:fldCharType="separate"/>
    </w:r>
    <w:r>
      <w:rPr>
        <w:rStyle w:val="10"/>
      </w:rPr>
      <w:t>10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3MTM5NjYwMDJlZGQxZjRhNzJlNWIzZmZhODUxMTgifQ=="/>
  </w:docVars>
  <w:rsids>
    <w:rsidRoot w:val="001C44E9"/>
    <w:rsid w:val="00021C1C"/>
    <w:rsid w:val="00033EB2"/>
    <w:rsid w:val="00037054"/>
    <w:rsid w:val="00083D38"/>
    <w:rsid w:val="00085EE7"/>
    <w:rsid w:val="000A3F63"/>
    <w:rsid w:val="00137D9C"/>
    <w:rsid w:val="00173FF0"/>
    <w:rsid w:val="001C219B"/>
    <w:rsid w:val="001C44E9"/>
    <w:rsid w:val="001F445E"/>
    <w:rsid w:val="0021149A"/>
    <w:rsid w:val="00300E56"/>
    <w:rsid w:val="00322382"/>
    <w:rsid w:val="003840ED"/>
    <w:rsid w:val="003F1CF8"/>
    <w:rsid w:val="005361B2"/>
    <w:rsid w:val="00584693"/>
    <w:rsid w:val="005952AA"/>
    <w:rsid w:val="006038D6"/>
    <w:rsid w:val="00610A81"/>
    <w:rsid w:val="00626BD4"/>
    <w:rsid w:val="00660F54"/>
    <w:rsid w:val="006B1FEE"/>
    <w:rsid w:val="006C12C8"/>
    <w:rsid w:val="00710FE1"/>
    <w:rsid w:val="007856BD"/>
    <w:rsid w:val="007B4C62"/>
    <w:rsid w:val="007F120D"/>
    <w:rsid w:val="0083682F"/>
    <w:rsid w:val="008540E4"/>
    <w:rsid w:val="00861D1A"/>
    <w:rsid w:val="008722EA"/>
    <w:rsid w:val="008923FD"/>
    <w:rsid w:val="008F7653"/>
    <w:rsid w:val="009008AE"/>
    <w:rsid w:val="009979C9"/>
    <w:rsid w:val="00A95881"/>
    <w:rsid w:val="00AD0849"/>
    <w:rsid w:val="00AE3AA7"/>
    <w:rsid w:val="00B70D26"/>
    <w:rsid w:val="00B76350"/>
    <w:rsid w:val="00B939CF"/>
    <w:rsid w:val="00BA169C"/>
    <w:rsid w:val="00BE14C2"/>
    <w:rsid w:val="00C14998"/>
    <w:rsid w:val="00C94C3B"/>
    <w:rsid w:val="00C9792D"/>
    <w:rsid w:val="00CA765A"/>
    <w:rsid w:val="00CC6F21"/>
    <w:rsid w:val="00D11109"/>
    <w:rsid w:val="00D22811"/>
    <w:rsid w:val="00D22C67"/>
    <w:rsid w:val="00DA1834"/>
    <w:rsid w:val="00DC6AFC"/>
    <w:rsid w:val="00E133C2"/>
    <w:rsid w:val="00E36BC5"/>
    <w:rsid w:val="00F12A05"/>
    <w:rsid w:val="00F50607"/>
    <w:rsid w:val="00F724E1"/>
    <w:rsid w:val="00FE47D2"/>
    <w:rsid w:val="030B2936"/>
    <w:rsid w:val="035F368D"/>
    <w:rsid w:val="04550D15"/>
    <w:rsid w:val="05633E44"/>
    <w:rsid w:val="05A131E3"/>
    <w:rsid w:val="06AB256C"/>
    <w:rsid w:val="0AE72BE4"/>
    <w:rsid w:val="0C430B50"/>
    <w:rsid w:val="0DDC23F6"/>
    <w:rsid w:val="0DF42FE0"/>
    <w:rsid w:val="0F040A6B"/>
    <w:rsid w:val="0F16079E"/>
    <w:rsid w:val="11EC5ABD"/>
    <w:rsid w:val="128E5843"/>
    <w:rsid w:val="12A52565"/>
    <w:rsid w:val="13C24A51"/>
    <w:rsid w:val="13CC58CF"/>
    <w:rsid w:val="14FA58E5"/>
    <w:rsid w:val="15591B1B"/>
    <w:rsid w:val="18695DE3"/>
    <w:rsid w:val="1ACF41F9"/>
    <w:rsid w:val="1CD024C8"/>
    <w:rsid w:val="1D8B13C0"/>
    <w:rsid w:val="200A1C59"/>
    <w:rsid w:val="20C55EE0"/>
    <w:rsid w:val="211F7986"/>
    <w:rsid w:val="23D34A58"/>
    <w:rsid w:val="25C71B39"/>
    <w:rsid w:val="264D28A0"/>
    <w:rsid w:val="27806CA5"/>
    <w:rsid w:val="27895B59"/>
    <w:rsid w:val="28247630"/>
    <w:rsid w:val="289253E1"/>
    <w:rsid w:val="298D48B6"/>
    <w:rsid w:val="29A31336"/>
    <w:rsid w:val="2A8818A9"/>
    <w:rsid w:val="2A995F16"/>
    <w:rsid w:val="2AA47892"/>
    <w:rsid w:val="2B4173B6"/>
    <w:rsid w:val="2B687E7E"/>
    <w:rsid w:val="2BB86A0D"/>
    <w:rsid w:val="2D051C10"/>
    <w:rsid w:val="30F54260"/>
    <w:rsid w:val="31D91F21"/>
    <w:rsid w:val="320D2EAD"/>
    <w:rsid w:val="32334C90"/>
    <w:rsid w:val="32944BE6"/>
    <w:rsid w:val="32A678B6"/>
    <w:rsid w:val="32C642DB"/>
    <w:rsid w:val="35686292"/>
    <w:rsid w:val="36174C78"/>
    <w:rsid w:val="37FC6696"/>
    <w:rsid w:val="3C813E32"/>
    <w:rsid w:val="3CA27C56"/>
    <w:rsid w:val="423261E9"/>
    <w:rsid w:val="43CC70A2"/>
    <w:rsid w:val="44676B1B"/>
    <w:rsid w:val="44AE0556"/>
    <w:rsid w:val="463E700D"/>
    <w:rsid w:val="46744BAF"/>
    <w:rsid w:val="46756D6D"/>
    <w:rsid w:val="48A65092"/>
    <w:rsid w:val="48A80F11"/>
    <w:rsid w:val="4B0435C5"/>
    <w:rsid w:val="4CCE79E7"/>
    <w:rsid w:val="4DED6593"/>
    <w:rsid w:val="4DFE254E"/>
    <w:rsid w:val="4FD07F1A"/>
    <w:rsid w:val="50B74C36"/>
    <w:rsid w:val="50C555A5"/>
    <w:rsid w:val="52235D10"/>
    <w:rsid w:val="543C0EA2"/>
    <w:rsid w:val="55853555"/>
    <w:rsid w:val="5698627F"/>
    <w:rsid w:val="56F04753"/>
    <w:rsid w:val="57FC7AEA"/>
    <w:rsid w:val="58CA1904"/>
    <w:rsid w:val="58EB2CA3"/>
    <w:rsid w:val="5A965CFD"/>
    <w:rsid w:val="5B895EE8"/>
    <w:rsid w:val="5BAC183B"/>
    <w:rsid w:val="5CD12844"/>
    <w:rsid w:val="5EFA0B0F"/>
    <w:rsid w:val="60AF18EE"/>
    <w:rsid w:val="60F2651D"/>
    <w:rsid w:val="62797F9D"/>
    <w:rsid w:val="62E564D8"/>
    <w:rsid w:val="631303F2"/>
    <w:rsid w:val="649D4417"/>
    <w:rsid w:val="660F30F2"/>
    <w:rsid w:val="66794A10"/>
    <w:rsid w:val="6B7F67E4"/>
    <w:rsid w:val="6CE3186A"/>
    <w:rsid w:val="6DB70FC3"/>
    <w:rsid w:val="6DBE7617"/>
    <w:rsid w:val="6DED1873"/>
    <w:rsid w:val="6E741BA5"/>
    <w:rsid w:val="6E7B0FAB"/>
    <w:rsid w:val="7129417E"/>
    <w:rsid w:val="732A41B8"/>
    <w:rsid w:val="761363C7"/>
    <w:rsid w:val="768A2321"/>
    <w:rsid w:val="76AD6B3E"/>
    <w:rsid w:val="78EB2734"/>
    <w:rsid w:val="7AF64429"/>
    <w:rsid w:val="7C2D5C29"/>
    <w:rsid w:val="7F500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adjustRightInd w:val="0"/>
      <w:snapToGrid w:val="0"/>
      <w:spacing w:line="360" w:lineRule="auto"/>
      <w:jc w:val="center"/>
      <w:textAlignment w:val="baseline"/>
      <w:outlineLvl w:val="0"/>
    </w:pPr>
    <w:rPr>
      <w:b/>
      <w:bCs/>
      <w:kern w:val="0"/>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autoRedefine/>
    <w:qFormat/>
    <w:uiPriority w:val="0"/>
    <w:pPr>
      <w:tabs>
        <w:tab w:val="center" w:pos="4153"/>
        <w:tab w:val="right" w:pos="8306"/>
      </w:tabs>
      <w:snapToGrid w:val="0"/>
      <w:jc w:val="left"/>
    </w:pPr>
    <w:rPr>
      <w:sz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22"/>
    </w:rPr>
  </w:style>
  <w:style w:type="paragraph" w:styleId="5">
    <w:name w:val="toc 1"/>
    <w:basedOn w:val="1"/>
    <w:next w:val="1"/>
    <w:autoRedefine/>
    <w:unhideWhenUsed/>
    <w:qFormat/>
    <w:uiPriority w:val="39"/>
  </w:style>
  <w:style w:type="paragraph" w:styleId="6">
    <w:name w:val="toc 2"/>
    <w:basedOn w:val="1"/>
    <w:next w:val="1"/>
    <w:autoRedefine/>
    <w:qFormat/>
    <w:uiPriority w:val="0"/>
    <w:pPr>
      <w:ind w:left="420" w:leftChars="200"/>
    </w:p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qFormat/>
    <w:uiPriority w:val="99"/>
    <w:rPr>
      <w:color w:val="0000FF"/>
      <w:u w:val="single"/>
    </w:rPr>
  </w:style>
  <w:style w:type="character" w:customStyle="1" w:styleId="12">
    <w:name w:val="页眉 字符"/>
    <w:link w:val="4"/>
    <w:qFormat/>
    <w:uiPriority w:val="0"/>
    <w:rPr>
      <w:rFonts w:eastAsia="宋体"/>
      <w:sz w:val="18"/>
    </w:rPr>
  </w:style>
  <w:style w:type="character" w:customStyle="1" w:styleId="13">
    <w:name w:val="页眉 Char1"/>
    <w:basedOn w:val="9"/>
    <w:autoRedefine/>
    <w:semiHidden/>
    <w:qFormat/>
    <w:uiPriority w:val="99"/>
    <w:rPr>
      <w:rFonts w:ascii="Times New Roman" w:hAnsi="Times New Roman" w:eastAsia="宋体" w:cs="Times New Roman"/>
      <w:sz w:val="18"/>
      <w:szCs w:val="18"/>
    </w:rPr>
  </w:style>
  <w:style w:type="character" w:customStyle="1" w:styleId="14">
    <w:name w:val="页脚 字符"/>
    <w:basedOn w:val="9"/>
    <w:link w:val="3"/>
    <w:autoRedefine/>
    <w:qFormat/>
    <w:uiPriority w:val="0"/>
    <w:rPr>
      <w:rFonts w:ascii="Times New Roman" w:hAnsi="Times New Roman" w:eastAsia="宋体" w:cs="Times New Roman"/>
      <w:sz w:val="1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67BA0-44D0-46D4-ADC6-769809304EBB}">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4216</Words>
  <Characters>4560</Characters>
  <Lines>31</Lines>
  <Paragraphs>8</Paragraphs>
  <TotalTime>105</TotalTime>
  <ScaleCrop>false</ScaleCrop>
  <LinksUpToDate>false</LinksUpToDate>
  <CharactersWithSpaces>4866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2024-08-12T03:58:00Z</dcterms:created>
  <dc:creator>AutoBVT</dc:creator>
  <cp:lastModifiedBy>荷笠带斜阳</cp:lastModifiedBy>
  <cp:lastPrinted>2024-08-27T07:18:30Z</cp:lastPrinted>
  <dcterms:modified xsi:type="dcterms:W3CDTF">2024-08-27T10:50:50Z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D69D58677D93494BB9C9B4E4F41F420D_13</vt:lpwstr>
  </property>
</Properties>
</file>