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20D133">
      <w:pPr>
        <w:widowControl w:val="0"/>
        <w:spacing w:line="360" w:lineRule="auto"/>
        <w:rPr>
          <w:rFonts w:hint="eastAsia" w:ascii="仿宋" w:hAnsi="仿宋" w:eastAsia="仿宋"/>
          <w:b/>
          <w:bCs/>
          <w:kern w:val="2"/>
        </w:rPr>
      </w:pPr>
      <w:r>
        <w:rPr>
          <w:rFonts w:hint="eastAsia" w:ascii="仿宋" w:hAnsi="仿宋" w:eastAsia="仿宋"/>
          <w:b/>
          <w:bCs/>
          <w:kern w:val="2"/>
        </w:rPr>
        <w:t>5.5.3水电站纳税及电费银行流水核查情况</w:t>
      </w:r>
    </w:p>
    <w:p w14:paraId="7E5E7409">
      <w:pPr>
        <w:widowControl w:val="0"/>
        <w:spacing w:line="360" w:lineRule="auto"/>
        <w:ind w:firstLine="420"/>
        <w:rPr>
          <w:rFonts w:ascii="仿宋" w:hAnsi="仿宋" w:eastAsia="仿宋"/>
          <w:b/>
          <w:bCs/>
          <w:kern w:val="2"/>
          <w:sz w:val="21"/>
          <w:szCs w:val="21"/>
          <w:u w:val="single"/>
        </w:rPr>
      </w:pPr>
      <w:r>
        <w:rPr>
          <w:rFonts w:hint="eastAsia" w:ascii="仿宋" w:hAnsi="仿宋" w:eastAsia="仿宋"/>
          <w:b/>
          <w:bCs/>
          <w:kern w:val="2"/>
          <w:sz w:val="21"/>
          <w:szCs w:val="21"/>
          <w:u w:val="single"/>
        </w:rPr>
        <w:t>纳税情况：</w:t>
      </w:r>
    </w:p>
    <w:p w14:paraId="7670915A">
      <w:pPr>
        <w:widowControl w:val="0"/>
        <w:spacing w:line="360" w:lineRule="auto"/>
        <w:ind w:firstLine="420"/>
        <w:jc w:val="both"/>
        <w:rPr>
          <w:rFonts w:ascii="仿宋" w:hAnsi="仿宋" w:eastAsia="仿宋"/>
          <w:kern w:val="2"/>
          <w:sz w:val="21"/>
          <w:szCs w:val="21"/>
        </w:rPr>
      </w:pPr>
      <w:r>
        <w:rPr>
          <w:rFonts w:hint="eastAsia" w:ascii="仿宋" w:hAnsi="仿宋" w:eastAsia="仿宋"/>
          <w:kern w:val="2"/>
          <w:sz w:val="21"/>
          <w:szCs w:val="21"/>
        </w:rPr>
        <w:t>承租人提供了水电站2023年经所属区域税务机关审核的增值税及附加税费申报表、2023年度企业所得税及增值税的完税证明。其中</w:t>
      </w:r>
      <w:r>
        <w:rPr>
          <w:rFonts w:hint="eastAsia" w:ascii="仿宋" w:hAnsi="仿宋" w:eastAsia="仿宋"/>
          <w:kern w:val="2"/>
          <w:sz w:val="21"/>
          <w:szCs w:val="21"/>
          <w:lang w:eastAsia="zh-CN"/>
        </w:rPr>
        <w:t>东都果儿</w:t>
      </w:r>
      <w:r>
        <w:rPr>
          <w:rFonts w:hint="eastAsia" w:ascii="仿宋" w:hAnsi="仿宋" w:eastAsia="仿宋"/>
          <w:kern w:val="2"/>
          <w:sz w:val="21"/>
          <w:szCs w:val="21"/>
        </w:rPr>
        <w:t>水电站归合作市税务机关管辖、</w:t>
      </w:r>
      <w:r>
        <w:rPr>
          <w:rFonts w:hint="eastAsia" w:ascii="仿宋" w:hAnsi="仿宋" w:eastAsia="仿宋"/>
          <w:kern w:val="2"/>
          <w:sz w:val="21"/>
          <w:szCs w:val="21"/>
          <w:lang w:eastAsia="zh-CN"/>
        </w:rPr>
        <w:t>孟克特</w:t>
      </w:r>
      <w:r>
        <w:rPr>
          <w:rFonts w:hint="eastAsia" w:ascii="仿宋" w:hAnsi="仿宋" w:eastAsia="仿宋"/>
          <w:kern w:val="2"/>
          <w:sz w:val="21"/>
          <w:szCs w:val="21"/>
        </w:rPr>
        <w:t>归卓尼县税务机关管辖。</w:t>
      </w:r>
    </w:p>
    <w:p w14:paraId="00FA9801">
      <w:pPr>
        <w:widowControl w:val="0"/>
        <w:spacing w:line="360" w:lineRule="auto"/>
        <w:ind w:firstLine="420"/>
        <w:rPr>
          <w:rFonts w:ascii="仿宋" w:hAnsi="仿宋" w:eastAsia="仿宋"/>
          <w:kern w:val="2"/>
          <w:sz w:val="21"/>
          <w:szCs w:val="21"/>
        </w:rPr>
      </w:pPr>
      <w:r>
        <w:rPr>
          <w:rFonts w:hint="eastAsia" w:ascii="仿宋" w:hAnsi="仿宋" w:eastAsia="仿宋"/>
          <w:kern w:val="2"/>
          <w:sz w:val="21"/>
          <w:szCs w:val="21"/>
          <w:lang w:eastAsia="zh-CN"/>
        </w:rPr>
        <w:t>东都果儿</w:t>
      </w:r>
      <w:r>
        <w:rPr>
          <w:rFonts w:hint="eastAsia" w:ascii="仿宋" w:hAnsi="仿宋" w:eastAsia="仿宋"/>
          <w:kern w:val="2"/>
          <w:sz w:val="21"/>
          <w:szCs w:val="21"/>
        </w:rPr>
        <w:t>水电站（单位：万元）：</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1701"/>
        <w:gridCol w:w="1701"/>
        <w:gridCol w:w="1559"/>
        <w:gridCol w:w="2035"/>
      </w:tblGrid>
      <w:tr w14:paraId="1C2BC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shd w:val="clear" w:color="auto" w:fill="auto"/>
            <w:vAlign w:val="center"/>
          </w:tcPr>
          <w:p w14:paraId="1425DF0C">
            <w:pPr>
              <w:widowControl w:val="0"/>
              <w:spacing w:line="360" w:lineRule="auto"/>
              <w:jc w:val="center"/>
              <w:rPr>
                <w:rFonts w:ascii="仿宋" w:hAnsi="仿宋" w:eastAsia="仿宋"/>
                <w:kern w:val="2"/>
                <w:sz w:val="21"/>
                <w:szCs w:val="21"/>
              </w:rPr>
            </w:pPr>
            <w:r>
              <w:rPr>
                <w:rFonts w:ascii="仿宋" w:hAnsi="仿宋" w:eastAsia="仿宋"/>
                <w:kern w:val="2"/>
                <w:sz w:val="21"/>
                <w:szCs w:val="21"/>
              </w:rPr>
              <w:t>所属年度</w:t>
            </w:r>
          </w:p>
        </w:tc>
        <w:tc>
          <w:tcPr>
            <w:tcW w:w="1701" w:type="dxa"/>
            <w:shd w:val="clear" w:color="auto" w:fill="auto"/>
            <w:vAlign w:val="center"/>
          </w:tcPr>
          <w:p w14:paraId="1D8785CF">
            <w:pPr>
              <w:widowControl w:val="0"/>
              <w:spacing w:line="360" w:lineRule="auto"/>
              <w:jc w:val="center"/>
              <w:rPr>
                <w:rFonts w:ascii="仿宋" w:hAnsi="仿宋" w:eastAsia="仿宋"/>
                <w:kern w:val="2"/>
                <w:sz w:val="21"/>
                <w:szCs w:val="21"/>
              </w:rPr>
            </w:pPr>
            <w:r>
              <w:rPr>
                <w:rFonts w:ascii="仿宋" w:hAnsi="仿宋" w:eastAsia="仿宋" w:cs="楷体"/>
                <w:sz w:val="21"/>
                <w:szCs w:val="21"/>
              </w:rPr>
              <w:t>报表销售收入</w:t>
            </w:r>
          </w:p>
        </w:tc>
        <w:tc>
          <w:tcPr>
            <w:tcW w:w="1701" w:type="dxa"/>
            <w:shd w:val="clear" w:color="auto" w:fill="auto"/>
            <w:vAlign w:val="center"/>
          </w:tcPr>
          <w:p w14:paraId="28D50DDE">
            <w:pPr>
              <w:widowControl w:val="0"/>
              <w:spacing w:line="360" w:lineRule="auto"/>
              <w:jc w:val="center"/>
              <w:rPr>
                <w:rFonts w:ascii="仿宋" w:hAnsi="仿宋" w:eastAsia="仿宋"/>
                <w:kern w:val="2"/>
                <w:sz w:val="21"/>
                <w:szCs w:val="21"/>
              </w:rPr>
            </w:pPr>
            <w:r>
              <w:rPr>
                <w:rFonts w:ascii="仿宋" w:hAnsi="仿宋" w:eastAsia="仿宋" w:cs="楷体"/>
                <w:sz w:val="21"/>
                <w:szCs w:val="21"/>
              </w:rPr>
              <w:t>纳税申报表收入</w:t>
            </w:r>
          </w:p>
        </w:tc>
        <w:tc>
          <w:tcPr>
            <w:tcW w:w="1559" w:type="dxa"/>
            <w:shd w:val="clear" w:color="auto" w:fill="auto"/>
            <w:vAlign w:val="center"/>
          </w:tcPr>
          <w:p w14:paraId="558506E5">
            <w:pPr>
              <w:widowControl w:val="0"/>
              <w:spacing w:line="360" w:lineRule="auto"/>
              <w:jc w:val="center"/>
              <w:rPr>
                <w:rFonts w:ascii="仿宋" w:hAnsi="仿宋" w:eastAsia="仿宋"/>
                <w:kern w:val="2"/>
                <w:sz w:val="21"/>
                <w:szCs w:val="21"/>
              </w:rPr>
            </w:pPr>
            <w:r>
              <w:rPr>
                <w:rFonts w:ascii="仿宋" w:hAnsi="仿宋" w:eastAsia="仿宋" w:cs="楷体"/>
                <w:sz w:val="21"/>
                <w:szCs w:val="21"/>
              </w:rPr>
              <w:t>报表利润总额</w:t>
            </w:r>
          </w:p>
        </w:tc>
        <w:tc>
          <w:tcPr>
            <w:tcW w:w="2035" w:type="dxa"/>
            <w:shd w:val="clear" w:color="auto" w:fill="auto"/>
            <w:vAlign w:val="center"/>
          </w:tcPr>
          <w:p w14:paraId="48B2D6BA">
            <w:pPr>
              <w:widowControl w:val="0"/>
              <w:spacing w:line="360" w:lineRule="auto"/>
              <w:jc w:val="center"/>
              <w:rPr>
                <w:rFonts w:ascii="仿宋" w:hAnsi="仿宋" w:eastAsia="仿宋"/>
                <w:kern w:val="2"/>
                <w:sz w:val="21"/>
                <w:szCs w:val="21"/>
              </w:rPr>
            </w:pPr>
            <w:r>
              <w:rPr>
                <w:rFonts w:ascii="仿宋" w:hAnsi="仿宋" w:eastAsia="仿宋" w:cs="楷体"/>
                <w:sz w:val="21"/>
                <w:szCs w:val="21"/>
              </w:rPr>
              <w:t>申报表应缴增值税</w:t>
            </w:r>
          </w:p>
        </w:tc>
      </w:tr>
      <w:tr w14:paraId="429B9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shd w:val="clear" w:color="auto" w:fill="auto"/>
            <w:vAlign w:val="center"/>
          </w:tcPr>
          <w:p w14:paraId="606E7084">
            <w:pPr>
              <w:widowControl w:val="0"/>
              <w:spacing w:line="360" w:lineRule="auto"/>
              <w:jc w:val="center"/>
              <w:rPr>
                <w:rFonts w:ascii="仿宋" w:hAnsi="仿宋" w:eastAsia="仿宋"/>
                <w:kern w:val="2"/>
                <w:sz w:val="21"/>
                <w:szCs w:val="21"/>
              </w:rPr>
            </w:pPr>
            <w:r>
              <w:rPr>
                <w:rFonts w:ascii="仿宋" w:hAnsi="仿宋" w:eastAsia="仿宋"/>
                <w:kern w:val="2"/>
                <w:sz w:val="21"/>
                <w:szCs w:val="21"/>
              </w:rPr>
              <w:t>2023年度</w:t>
            </w:r>
          </w:p>
        </w:tc>
        <w:tc>
          <w:tcPr>
            <w:tcW w:w="1701" w:type="dxa"/>
            <w:shd w:val="clear" w:color="auto" w:fill="auto"/>
            <w:vAlign w:val="center"/>
          </w:tcPr>
          <w:p w14:paraId="3A8A381A">
            <w:pPr>
              <w:widowControl w:val="0"/>
              <w:spacing w:line="360" w:lineRule="auto"/>
              <w:jc w:val="center"/>
              <w:rPr>
                <w:rFonts w:ascii="仿宋" w:hAnsi="仿宋" w:eastAsia="仿宋"/>
                <w:kern w:val="2"/>
                <w:sz w:val="21"/>
                <w:szCs w:val="21"/>
              </w:rPr>
            </w:pPr>
            <w:r>
              <w:rPr>
                <w:rFonts w:hint="eastAsia" w:ascii="仿宋" w:hAnsi="仿宋" w:eastAsia="仿宋"/>
                <w:kern w:val="2"/>
                <w:sz w:val="21"/>
                <w:szCs w:val="21"/>
                <w:lang w:val="en-US" w:eastAsia="zh-CN"/>
              </w:rPr>
              <w:t>1153.03</w:t>
            </w:r>
          </w:p>
        </w:tc>
        <w:tc>
          <w:tcPr>
            <w:tcW w:w="1701" w:type="dxa"/>
            <w:shd w:val="clear" w:color="auto" w:fill="auto"/>
            <w:vAlign w:val="center"/>
          </w:tcPr>
          <w:p w14:paraId="673A3FEF">
            <w:pPr>
              <w:widowControl w:val="0"/>
              <w:spacing w:line="360" w:lineRule="auto"/>
              <w:jc w:val="center"/>
              <w:rPr>
                <w:rFonts w:ascii="仿宋" w:hAnsi="仿宋" w:eastAsia="仿宋"/>
                <w:kern w:val="2"/>
                <w:sz w:val="21"/>
                <w:szCs w:val="21"/>
              </w:rPr>
            </w:pPr>
            <w:r>
              <w:rPr>
                <w:rFonts w:hint="eastAsia" w:ascii="仿宋" w:hAnsi="仿宋" w:eastAsia="仿宋"/>
                <w:kern w:val="2"/>
                <w:sz w:val="21"/>
                <w:szCs w:val="21"/>
                <w:lang w:val="en-US" w:eastAsia="zh-CN"/>
              </w:rPr>
              <w:t>1153.03</w:t>
            </w:r>
          </w:p>
        </w:tc>
        <w:tc>
          <w:tcPr>
            <w:tcW w:w="1559" w:type="dxa"/>
            <w:shd w:val="clear" w:color="auto" w:fill="auto"/>
            <w:vAlign w:val="center"/>
          </w:tcPr>
          <w:p w14:paraId="64859F2D">
            <w:pPr>
              <w:widowControl w:val="0"/>
              <w:spacing w:line="360" w:lineRule="auto"/>
              <w:jc w:val="center"/>
              <w:rPr>
                <w:rFonts w:ascii="仿宋" w:hAnsi="仿宋" w:eastAsia="仿宋"/>
                <w:kern w:val="2"/>
                <w:sz w:val="21"/>
                <w:szCs w:val="21"/>
              </w:rPr>
            </w:pPr>
            <w:r>
              <w:rPr>
                <w:rFonts w:hint="eastAsia" w:ascii="仿宋" w:hAnsi="仿宋" w:eastAsia="仿宋"/>
                <w:kern w:val="2"/>
                <w:sz w:val="21"/>
                <w:szCs w:val="21"/>
                <w:lang w:val="en-US" w:eastAsia="zh-CN"/>
              </w:rPr>
              <w:t>-23.46</w:t>
            </w:r>
          </w:p>
        </w:tc>
        <w:tc>
          <w:tcPr>
            <w:tcW w:w="2035" w:type="dxa"/>
            <w:shd w:val="clear" w:color="auto" w:fill="auto"/>
            <w:vAlign w:val="center"/>
          </w:tcPr>
          <w:p w14:paraId="22DEE382">
            <w:pPr>
              <w:widowControl w:val="0"/>
              <w:spacing w:line="360" w:lineRule="auto"/>
              <w:jc w:val="center"/>
              <w:rPr>
                <w:rFonts w:ascii="仿宋" w:hAnsi="仿宋" w:eastAsia="仿宋"/>
                <w:kern w:val="2"/>
                <w:sz w:val="21"/>
                <w:szCs w:val="21"/>
              </w:rPr>
            </w:pPr>
            <w:r>
              <w:rPr>
                <w:rFonts w:hint="eastAsia" w:ascii="仿宋" w:hAnsi="仿宋" w:eastAsia="仿宋"/>
                <w:kern w:val="2"/>
                <w:sz w:val="21"/>
                <w:szCs w:val="21"/>
                <w:lang w:val="en-US" w:eastAsia="zh-CN"/>
              </w:rPr>
              <w:t>3</w:t>
            </w:r>
          </w:p>
        </w:tc>
      </w:tr>
    </w:tbl>
    <w:p w14:paraId="5AF8996C">
      <w:pPr>
        <w:widowControl w:val="0"/>
        <w:spacing w:line="360" w:lineRule="auto"/>
        <w:ind w:firstLine="420"/>
        <w:rPr>
          <w:rFonts w:ascii="仿宋" w:hAnsi="仿宋" w:eastAsia="仿宋"/>
          <w:kern w:val="2"/>
          <w:sz w:val="21"/>
          <w:szCs w:val="21"/>
        </w:rPr>
      </w:pPr>
      <w:r>
        <w:rPr>
          <w:rFonts w:hint="eastAsia" w:ascii="仿宋" w:hAnsi="仿宋" w:eastAsia="仿宋"/>
          <w:kern w:val="2"/>
          <w:sz w:val="21"/>
          <w:szCs w:val="21"/>
          <w:lang w:eastAsia="zh-CN"/>
        </w:rPr>
        <w:t>孟克特</w:t>
      </w:r>
      <w:r>
        <w:rPr>
          <w:rFonts w:hint="eastAsia" w:ascii="仿宋" w:hAnsi="仿宋" w:eastAsia="仿宋"/>
          <w:kern w:val="2"/>
          <w:sz w:val="21"/>
          <w:szCs w:val="21"/>
          <w:lang w:val="en-US" w:eastAsia="zh-CN"/>
        </w:rPr>
        <w:t>水电站</w:t>
      </w:r>
      <w:r>
        <w:rPr>
          <w:rFonts w:hint="eastAsia" w:ascii="仿宋" w:hAnsi="仿宋" w:eastAsia="仿宋"/>
          <w:kern w:val="2"/>
          <w:sz w:val="21"/>
          <w:szCs w:val="21"/>
        </w:rPr>
        <w:t>（单位：万元）：</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1701"/>
        <w:gridCol w:w="1701"/>
        <w:gridCol w:w="1559"/>
        <w:gridCol w:w="2035"/>
      </w:tblGrid>
      <w:tr w14:paraId="320C0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26" w:type="dxa"/>
            <w:shd w:val="clear" w:color="auto" w:fill="auto"/>
            <w:vAlign w:val="center"/>
          </w:tcPr>
          <w:p w14:paraId="7E0C7C67">
            <w:pPr>
              <w:widowControl w:val="0"/>
              <w:spacing w:line="360" w:lineRule="auto"/>
              <w:jc w:val="center"/>
              <w:rPr>
                <w:rFonts w:ascii="仿宋" w:hAnsi="仿宋" w:eastAsia="仿宋"/>
                <w:kern w:val="2"/>
                <w:sz w:val="21"/>
                <w:szCs w:val="21"/>
              </w:rPr>
            </w:pPr>
            <w:r>
              <w:rPr>
                <w:rFonts w:ascii="仿宋" w:hAnsi="仿宋" w:eastAsia="仿宋"/>
                <w:kern w:val="2"/>
                <w:sz w:val="21"/>
                <w:szCs w:val="21"/>
              </w:rPr>
              <w:t>所属年度</w:t>
            </w:r>
          </w:p>
        </w:tc>
        <w:tc>
          <w:tcPr>
            <w:tcW w:w="1701" w:type="dxa"/>
            <w:shd w:val="clear" w:color="auto" w:fill="auto"/>
            <w:vAlign w:val="center"/>
          </w:tcPr>
          <w:p w14:paraId="6217A6B2">
            <w:pPr>
              <w:widowControl w:val="0"/>
              <w:spacing w:line="360" w:lineRule="auto"/>
              <w:jc w:val="center"/>
              <w:rPr>
                <w:rFonts w:ascii="仿宋" w:hAnsi="仿宋" w:eastAsia="仿宋"/>
                <w:kern w:val="2"/>
                <w:sz w:val="21"/>
                <w:szCs w:val="21"/>
              </w:rPr>
            </w:pPr>
            <w:r>
              <w:rPr>
                <w:rFonts w:ascii="仿宋" w:hAnsi="仿宋" w:eastAsia="仿宋" w:cs="楷体"/>
                <w:sz w:val="21"/>
                <w:szCs w:val="21"/>
              </w:rPr>
              <w:t>报表销售收入</w:t>
            </w:r>
          </w:p>
        </w:tc>
        <w:tc>
          <w:tcPr>
            <w:tcW w:w="1701" w:type="dxa"/>
            <w:shd w:val="clear" w:color="auto" w:fill="auto"/>
            <w:vAlign w:val="center"/>
          </w:tcPr>
          <w:p w14:paraId="2CC5B70A">
            <w:pPr>
              <w:widowControl w:val="0"/>
              <w:spacing w:line="360" w:lineRule="auto"/>
              <w:jc w:val="center"/>
              <w:rPr>
                <w:rFonts w:ascii="仿宋" w:hAnsi="仿宋" w:eastAsia="仿宋"/>
                <w:kern w:val="2"/>
                <w:sz w:val="21"/>
                <w:szCs w:val="21"/>
              </w:rPr>
            </w:pPr>
            <w:r>
              <w:rPr>
                <w:rFonts w:ascii="仿宋" w:hAnsi="仿宋" w:eastAsia="仿宋" w:cs="楷体"/>
                <w:sz w:val="21"/>
                <w:szCs w:val="21"/>
              </w:rPr>
              <w:t>纳税申报表收入</w:t>
            </w:r>
          </w:p>
        </w:tc>
        <w:tc>
          <w:tcPr>
            <w:tcW w:w="1559" w:type="dxa"/>
            <w:shd w:val="clear" w:color="auto" w:fill="auto"/>
            <w:vAlign w:val="center"/>
          </w:tcPr>
          <w:p w14:paraId="10E39D7E">
            <w:pPr>
              <w:widowControl w:val="0"/>
              <w:spacing w:line="360" w:lineRule="auto"/>
              <w:jc w:val="center"/>
              <w:rPr>
                <w:rFonts w:ascii="仿宋" w:hAnsi="仿宋" w:eastAsia="仿宋"/>
                <w:kern w:val="2"/>
                <w:sz w:val="21"/>
                <w:szCs w:val="21"/>
              </w:rPr>
            </w:pPr>
            <w:r>
              <w:rPr>
                <w:rFonts w:ascii="仿宋" w:hAnsi="仿宋" w:eastAsia="仿宋" w:cs="楷体"/>
                <w:sz w:val="21"/>
                <w:szCs w:val="21"/>
              </w:rPr>
              <w:t>报表利润总额</w:t>
            </w:r>
          </w:p>
        </w:tc>
        <w:tc>
          <w:tcPr>
            <w:tcW w:w="2035" w:type="dxa"/>
            <w:shd w:val="clear" w:color="auto" w:fill="auto"/>
            <w:vAlign w:val="center"/>
          </w:tcPr>
          <w:p w14:paraId="2CA76EF4">
            <w:pPr>
              <w:widowControl w:val="0"/>
              <w:spacing w:line="360" w:lineRule="auto"/>
              <w:jc w:val="center"/>
              <w:rPr>
                <w:rFonts w:ascii="仿宋" w:hAnsi="仿宋" w:eastAsia="仿宋"/>
                <w:kern w:val="2"/>
                <w:sz w:val="21"/>
                <w:szCs w:val="21"/>
              </w:rPr>
            </w:pPr>
            <w:r>
              <w:rPr>
                <w:rFonts w:ascii="仿宋" w:hAnsi="仿宋" w:eastAsia="仿宋" w:cs="楷体"/>
                <w:sz w:val="21"/>
                <w:szCs w:val="21"/>
              </w:rPr>
              <w:t>申报表应缴增值税</w:t>
            </w:r>
          </w:p>
        </w:tc>
      </w:tr>
      <w:tr w14:paraId="66398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shd w:val="clear" w:color="auto" w:fill="auto"/>
            <w:vAlign w:val="center"/>
          </w:tcPr>
          <w:p w14:paraId="6277C77E">
            <w:pPr>
              <w:widowControl w:val="0"/>
              <w:spacing w:line="360" w:lineRule="auto"/>
              <w:jc w:val="center"/>
              <w:rPr>
                <w:rFonts w:ascii="仿宋" w:hAnsi="仿宋" w:eastAsia="仿宋"/>
                <w:kern w:val="2"/>
                <w:sz w:val="21"/>
                <w:szCs w:val="21"/>
              </w:rPr>
            </w:pPr>
            <w:r>
              <w:rPr>
                <w:rFonts w:ascii="仿宋" w:hAnsi="仿宋" w:eastAsia="仿宋"/>
                <w:kern w:val="2"/>
                <w:sz w:val="21"/>
                <w:szCs w:val="21"/>
              </w:rPr>
              <w:t>2023年度</w:t>
            </w:r>
          </w:p>
        </w:tc>
        <w:tc>
          <w:tcPr>
            <w:tcW w:w="1701" w:type="dxa"/>
            <w:shd w:val="clear" w:color="auto" w:fill="auto"/>
            <w:vAlign w:val="center"/>
          </w:tcPr>
          <w:p w14:paraId="5F31EBB3">
            <w:pPr>
              <w:widowControl w:val="0"/>
              <w:spacing w:line="360" w:lineRule="auto"/>
              <w:jc w:val="center"/>
              <w:rPr>
                <w:rFonts w:ascii="仿宋" w:hAnsi="仿宋" w:eastAsia="仿宋"/>
                <w:kern w:val="2"/>
                <w:sz w:val="21"/>
                <w:szCs w:val="21"/>
              </w:rPr>
            </w:pPr>
            <w:r>
              <w:rPr>
                <w:rFonts w:hint="eastAsia" w:ascii="仿宋" w:hAnsi="仿宋" w:eastAsia="仿宋"/>
                <w:kern w:val="2"/>
                <w:sz w:val="21"/>
                <w:szCs w:val="21"/>
                <w:lang w:val="en-US" w:eastAsia="zh-CN"/>
              </w:rPr>
              <w:t>799.52</w:t>
            </w:r>
          </w:p>
        </w:tc>
        <w:tc>
          <w:tcPr>
            <w:tcW w:w="1701" w:type="dxa"/>
            <w:shd w:val="clear" w:color="auto" w:fill="auto"/>
            <w:vAlign w:val="center"/>
          </w:tcPr>
          <w:p w14:paraId="70A54FFD">
            <w:pPr>
              <w:widowControl w:val="0"/>
              <w:spacing w:line="360" w:lineRule="auto"/>
              <w:jc w:val="center"/>
              <w:rPr>
                <w:rFonts w:ascii="仿宋" w:hAnsi="仿宋" w:eastAsia="仿宋"/>
                <w:kern w:val="2"/>
                <w:sz w:val="21"/>
                <w:szCs w:val="21"/>
              </w:rPr>
            </w:pPr>
            <w:r>
              <w:rPr>
                <w:rFonts w:hint="eastAsia" w:ascii="仿宋" w:hAnsi="仿宋" w:eastAsia="仿宋"/>
                <w:kern w:val="2"/>
                <w:sz w:val="21"/>
                <w:szCs w:val="21"/>
                <w:lang w:val="en-US" w:eastAsia="zh-CN"/>
              </w:rPr>
              <w:t>799.52</w:t>
            </w:r>
          </w:p>
        </w:tc>
        <w:tc>
          <w:tcPr>
            <w:tcW w:w="1559" w:type="dxa"/>
            <w:shd w:val="clear" w:color="auto" w:fill="auto"/>
            <w:vAlign w:val="center"/>
          </w:tcPr>
          <w:p w14:paraId="60052F8C">
            <w:pPr>
              <w:widowControl w:val="0"/>
              <w:spacing w:line="360" w:lineRule="auto"/>
              <w:jc w:val="center"/>
              <w:rPr>
                <w:rFonts w:ascii="仿宋" w:hAnsi="仿宋" w:eastAsia="仿宋"/>
                <w:kern w:val="2"/>
                <w:sz w:val="21"/>
                <w:szCs w:val="21"/>
              </w:rPr>
            </w:pPr>
            <w:r>
              <w:rPr>
                <w:rFonts w:hint="eastAsia" w:ascii="仿宋" w:hAnsi="仿宋" w:eastAsia="仿宋"/>
                <w:kern w:val="2"/>
                <w:sz w:val="21"/>
                <w:szCs w:val="21"/>
                <w:lang w:val="en-US" w:eastAsia="zh-CN"/>
              </w:rPr>
              <w:t>15.05</w:t>
            </w:r>
          </w:p>
        </w:tc>
        <w:tc>
          <w:tcPr>
            <w:tcW w:w="2035" w:type="dxa"/>
            <w:shd w:val="clear" w:color="auto" w:fill="auto"/>
            <w:vAlign w:val="center"/>
          </w:tcPr>
          <w:p w14:paraId="5F74F83F">
            <w:pPr>
              <w:widowControl w:val="0"/>
              <w:spacing w:line="360" w:lineRule="auto"/>
              <w:jc w:val="center"/>
              <w:rPr>
                <w:rFonts w:ascii="仿宋" w:hAnsi="仿宋" w:eastAsia="仿宋"/>
                <w:kern w:val="2"/>
                <w:sz w:val="21"/>
                <w:szCs w:val="21"/>
              </w:rPr>
            </w:pPr>
            <w:r>
              <w:rPr>
                <w:rFonts w:hint="eastAsia" w:ascii="仿宋" w:hAnsi="仿宋" w:eastAsia="仿宋"/>
                <w:kern w:val="2"/>
                <w:sz w:val="21"/>
                <w:szCs w:val="21"/>
                <w:lang w:val="en-US" w:eastAsia="zh-CN"/>
              </w:rPr>
              <w:t>23.99</w:t>
            </w:r>
          </w:p>
        </w:tc>
      </w:tr>
    </w:tbl>
    <w:p w14:paraId="1C3D7F0D">
      <w:pPr>
        <w:widowControl w:val="0"/>
        <w:spacing w:line="360" w:lineRule="auto"/>
        <w:ind w:firstLine="420"/>
        <w:rPr>
          <w:rFonts w:ascii="仿宋" w:hAnsi="仿宋" w:eastAsia="仿宋"/>
          <w:b/>
          <w:bCs/>
          <w:kern w:val="2"/>
          <w:sz w:val="21"/>
          <w:szCs w:val="21"/>
          <w:u w:val="single"/>
        </w:rPr>
      </w:pPr>
      <w:r>
        <w:rPr>
          <w:rFonts w:ascii="仿宋" w:hAnsi="仿宋" w:eastAsia="仿宋"/>
          <w:b/>
          <w:bCs/>
          <w:kern w:val="2"/>
          <w:sz w:val="21"/>
          <w:szCs w:val="21"/>
          <w:u w:val="single"/>
        </w:rPr>
        <w:t>电费银行流水核查</w:t>
      </w:r>
      <w:r>
        <w:rPr>
          <w:rFonts w:hint="eastAsia" w:ascii="仿宋" w:hAnsi="仿宋" w:eastAsia="仿宋"/>
          <w:b/>
          <w:bCs/>
          <w:kern w:val="2"/>
          <w:sz w:val="21"/>
          <w:szCs w:val="21"/>
          <w:u w:val="single"/>
        </w:rPr>
        <w:t>情况：</w:t>
      </w:r>
    </w:p>
    <w:p w14:paraId="332F5401">
      <w:pPr>
        <w:widowControl w:val="0"/>
        <w:spacing w:line="360" w:lineRule="auto"/>
        <w:ind w:firstLine="420"/>
        <w:jc w:val="both"/>
        <w:rPr>
          <w:rFonts w:hint="eastAsia" w:ascii="仿宋" w:hAnsi="仿宋" w:eastAsia="仿宋"/>
          <w:kern w:val="2"/>
          <w:sz w:val="21"/>
          <w:szCs w:val="21"/>
          <w:lang w:val="en-US" w:eastAsia="zh-CN"/>
        </w:rPr>
      </w:pPr>
      <w:r>
        <w:rPr>
          <w:rFonts w:hint="eastAsia" w:ascii="仿宋" w:hAnsi="仿宋" w:eastAsia="仿宋"/>
          <w:kern w:val="2"/>
          <w:sz w:val="21"/>
          <w:szCs w:val="21"/>
        </w:rPr>
        <w:t>承租人提供了2021-2022年和最近一年（2023年3月至2024年3月）</w:t>
      </w:r>
      <w:r>
        <w:rPr>
          <w:rFonts w:ascii="仿宋" w:hAnsi="仿宋" w:eastAsia="仿宋"/>
          <w:kern w:val="2"/>
          <w:sz w:val="21"/>
          <w:szCs w:val="21"/>
        </w:rPr>
        <w:t>银行对账单</w:t>
      </w:r>
      <w:r>
        <w:rPr>
          <w:rFonts w:hint="eastAsia" w:ascii="仿宋" w:hAnsi="仿宋" w:eastAsia="仿宋"/>
          <w:kern w:val="2"/>
          <w:sz w:val="21"/>
          <w:szCs w:val="21"/>
        </w:rPr>
        <w:t>、20</w:t>
      </w:r>
      <w:r>
        <w:rPr>
          <w:rFonts w:hint="eastAsia" w:ascii="仿宋" w:hAnsi="仿宋" w:eastAsia="仿宋"/>
          <w:kern w:val="2"/>
          <w:sz w:val="21"/>
          <w:szCs w:val="21"/>
          <w:lang w:val="en-US" w:eastAsia="zh-CN"/>
        </w:rPr>
        <w:t>13</w:t>
      </w:r>
      <w:r>
        <w:rPr>
          <w:rFonts w:hint="eastAsia" w:ascii="仿宋" w:hAnsi="仿宋" w:eastAsia="仿宋"/>
          <w:kern w:val="2"/>
          <w:sz w:val="21"/>
          <w:szCs w:val="21"/>
        </w:rPr>
        <w:t>-2023年及2024年1-</w:t>
      </w:r>
      <w:r>
        <w:rPr>
          <w:rFonts w:hint="eastAsia" w:ascii="仿宋" w:hAnsi="仿宋" w:eastAsia="仿宋"/>
          <w:kern w:val="2"/>
          <w:sz w:val="21"/>
          <w:szCs w:val="21"/>
          <w:lang w:val="en-US" w:eastAsia="zh-CN"/>
        </w:rPr>
        <w:t>6</w:t>
      </w:r>
      <w:r>
        <w:rPr>
          <w:rFonts w:hint="eastAsia" w:ascii="仿宋" w:hAnsi="仿宋" w:eastAsia="仿宋"/>
          <w:kern w:val="2"/>
          <w:sz w:val="21"/>
          <w:szCs w:val="21"/>
        </w:rPr>
        <w:t>月电量电费结算单。经核查，数据吻合；具体明细详见本文</w:t>
      </w:r>
      <w:r>
        <w:rPr>
          <w:rFonts w:ascii="仿宋" w:hAnsi="仿宋" w:eastAsia="仿宋"/>
          <w:kern w:val="2"/>
          <w:sz w:val="21"/>
          <w:szCs w:val="21"/>
        </w:rPr>
        <w:t>5.5.2水电站运营情况</w:t>
      </w:r>
      <w:r>
        <w:rPr>
          <w:rFonts w:hint="eastAsia" w:ascii="仿宋" w:hAnsi="仿宋" w:eastAsia="仿宋"/>
          <w:kern w:val="2"/>
          <w:sz w:val="21"/>
          <w:szCs w:val="21"/>
          <w:lang w:eastAsia="zh-CN"/>
        </w:rPr>
        <w:t>。</w:t>
      </w:r>
    </w:p>
    <w:p w14:paraId="0EB17A09">
      <w:pPr>
        <w:widowControl w:val="0"/>
        <w:spacing w:line="360" w:lineRule="auto"/>
        <w:jc w:val="both"/>
        <w:rPr>
          <w:rFonts w:ascii="仿宋" w:hAnsi="仿宋" w:eastAsia="仿宋"/>
          <w:b/>
          <w:kern w:val="2"/>
        </w:rPr>
      </w:pPr>
    </w:p>
    <w:p w14:paraId="647F35CF">
      <w:pPr>
        <w:widowControl w:val="0"/>
        <w:spacing w:line="360" w:lineRule="auto"/>
        <w:jc w:val="both"/>
        <w:rPr>
          <w:rFonts w:ascii="仿宋" w:hAnsi="仿宋" w:eastAsia="仿宋"/>
          <w:b/>
          <w:kern w:val="2"/>
        </w:rPr>
      </w:pPr>
    </w:p>
    <w:p w14:paraId="686DF68B">
      <w:pPr>
        <w:widowControl w:val="0"/>
        <w:spacing w:line="360" w:lineRule="auto"/>
        <w:jc w:val="both"/>
        <w:rPr>
          <w:rFonts w:ascii="仿宋" w:hAnsi="仿宋" w:eastAsia="仿宋"/>
          <w:b/>
          <w:kern w:val="2"/>
        </w:rPr>
      </w:pPr>
    </w:p>
    <w:p w14:paraId="486F392F">
      <w:pPr>
        <w:widowControl w:val="0"/>
        <w:spacing w:line="360" w:lineRule="auto"/>
        <w:jc w:val="both"/>
        <w:rPr>
          <w:rFonts w:ascii="仿宋" w:hAnsi="仿宋" w:eastAsia="仿宋"/>
          <w:b/>
          <w:kern w:val="2"/>
        </w:rPr>
      </w:pPr>
    </w:p>
    <w:p w14:paraId="6E0CCD7D">
      <w:pPr>
        <w:widowControl w:val="0"/>
        <w:spacing w:line="360" w:lineRule="auto"/>
        <w:jc w:val="both"/>
        <w:rPr>
          <w:rFonts w:ascii="仿宋" w:hAnsi="仿宋" w:eastAsia="仿宋"/>
          <w:bCs/>
          <w:kern w:val="2"/>
          <w:sz w:val="21"/>
          <w:szCs w:val="21"/>
        </w:rPr>
      </w:pPr>
      <w:r>
        <w:rPr>
          <w:rFonts w:ascii="仿宋" w:hAnsi="仿宋" w:eastAsia="仿宋"/>
          <w:b/>
          <w:kern w:val="2"/>
        </w:rPr>
        <w:t>7.2</w:t>
      </w:r>
      <w:r>
        <w:rPr>
          <w:rFonts w:hint="eastAsia" w:ascii="仿宋" w:hAnsi="仿宋" w:eastAsia="仿宋"/>
          <w:b/>
          <w:kern w:val="2"/>
        </w:rPr>
        <w:t>实控人产业介绍</w:t>
      </w:r>
    </w:p>
    <w:p w14:paraId="2B5F7DEA">
      <w:pPr>
        <w:widowControl w:val="0"/>
        <w:spacing w:line="360" w:lineRule="auto"/>
        <w:ind w:firstLine="420"/>
        <w:rPr>
          <w:rFonts w:ascii="仿宋" w:hAnsi="仿宋" w:eastAsia="仿宋"/>
          <w:b/>
          <w:color w:val="auto"/>
          <w:kern w:val="2"/>
          <w:highlight w:val="none"/>
        </w:rPr>
      </w:pPr>
      <w:r>
        <w:rPr>
          <w:rFonts w:hint="eastAsia" w:ascii="仿宋" w:hAnsi="仿宋" w:eastAsia="仿宋"/>
          <w:bCs/>
          <w:kern w:val="2"/>
          <w:sz w:val="21"/>
          <w:szCs w:val="21"/>
          <w:highlight w:val="none"/>
        </w:rPr>
        <w:t>以</w:t>
      </w:r>
      <w:r>
        <w:rPr>
          <w:rFonts w:hint="eastAsia" w:ascii="仿宋" w:hAnsi="仿宋" w:eastAsia="仿宋"/>
          <w:bCs/>
          <w:color w:val="auto"/>
          <w:kern w:val="2"/>
          <w:sz w:val="21"/>
          <w:szCs w:val="21"/>
          <w:highlight w:val="none"/>
        </w:rPr>
        <w:t>下为实控人</w:t>
      </w:r>
      <w:r>
        <w:rPr>
          <w:rFonts w:hint="eastAsia" w:ascii="仿宋" w:hAnsi="仿宋" w:eastAsia="仿宋"/>
          <w:bCs/>
          <w:color w:val="auto"/>
          <w:kern w:val="2"/>
          <w:sz w:val="21"/>
          <w:szCs w:val="21"/>
          <w:highlight w:val="none"/>
          <w:lang w:eastAsia="zh-CN"/>
        </w:rPr>
        <w:t>张璐燕、</w:t>
      </w:r>
      <w:r>
        <w:rPr>
          <w:rFonts w:hint="eastAsia" w:ascii="仿宋" w:hAnsi="仿宋" w:eastAsia="仿宋"/>
          <w:bCs/>
          <w:color w:val="auto"/>
          <w:kern w:val="2"/>
          <w:sz w:val="21"/>
          <w:szCs w:val="21"/>
          <w:highlight w:val="none"/>
          <w:lang w:val="en-US" w:eastAsia="zh-CN"/>
        </w:rPr>
        <w:t>许宗奎</w:t>
      </w:r>
      <w:r>
        <w:rPr>
          <w:rFonts w:hint="eastAsia" w:ascii="仿宋" w:hAnsi="仿宋" w:eastAsia="仿宋"/>
          <w:bCs/>
          <w:color w:val="auto"/>
          <w:kern w:val="2"/>
          <w:sz w:val="21"/>
          <w:szCs w:val="21"/>
          <w:highlight w:val="none"/>
        </w:rPr>
        <w:t>控股、参股企业及投资情况：</w:t>
      </w:r>
    </w:p>
    <w:p w14:paraId="1547F089">
      <w:pPr>
        <w:widowControl w:val="0"/>
        <w:spacing w:line="360" w:lineRule="auto"/>
        <w:ind w:firstLine="420"/>
        <w:jc w:val="both"/>
        <w:rPr>
          <w:rFonts w:hint="eastAsia" w:ascii="仿宋" w:hAnsi="仿宋" w:eastAsia="仿宋"/>
          <w:b/>
          <w:color w:val="auto"/>
          <w:kern w:val="2"/>
          <w:sz w:val="21"/>
          <w:szCs w:val="21"/>
          <w:highlight w:val="none"/>
        </w:rPr>
      </w:pPr>
      <w:r>
        <w:rPr>
          <w:rFonts w:hint="eastAsia" w:ascii="仿宋" w:hAnsi="仿宋" w:eastAsia="仿宋"/>
          <w:b/>
          <w:color w:val="auto"/>
          <w:kern w:val="2"/>
          <w:sz w:val="21"/>
          <w:szCs w:val="21"/>
          <w:highlight w:val="none"/>
        </w:rPr>
        <w:t>参股控股企业：</w:t>
      </w:r>
    </w:p>
    <w:tbl>
      <w:tblPr>
        <w:tblStyle w:val="3"/>
        <w:tblW w:w="13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04"/>
        <w:gridCol w:w="945"/>
        <w:gridCol w:w="1209"/>
        <w:gridCol w:w="1022"/>
        <w:gridCol w:w="4350"/>
        <w:gridCol w:w="1560"/>
        <w:gridCol w:w="1545"/>
      </w:tblGrid>
      <w:tr w14:paraId="0C9F1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304" w:type="dxa"/>
            <w:shd w:val="clear" w:color="000000" w:fill="FFFFFF"/>
            <w:noWrap/>
            <w:vAlign w:val="center"/>
          </w:tcPr>
          <w:p w14:paraId="71B633FD">
            <w:pPr>
              <w:jc w:val="center"/>
              <w:rPr>
                <w:rFonts w:ascii="仿宋" w:hAnsi="仿宋" w:eastAsia="仿宋"/>
                <w:b/>
                <w:bCs/>
                <w:color w:val="auto"/>
                <w:sz w:val="18"/>
                <w:szCs w:val="18"/>
                <w:highlight w:val="none"/>
              </w:rPr>
            </w:pPr>
            <w:r>
              <w:rPr>
                <w:rFonts w:ascii="仿宋" w:hAnsi="仿宋" w:eastAsia="仿宋"/>
                <w:b/>
                <w:bCs/>
                <w:color w:val="auto"/>
                <w:sz w:val="18"/>
                <w:szCs w:val="18"/>
                <w:highlight w:val="none"/>
              </w:rPr>
              <w:t>公司名称</w:t>
            </w:r>
          </w:p>
        </w:tc>
        <w:tc>
          <w:tcPr>
            <w:tcW w:w="945" w:type="dxa"/>
            <w:shd w:val="clear" w:color="000000" w:fill="FFFFFF"/>
            <w:noWrap/>
            <w:vAlign w:val="center"/>
          </w:tcPr>
          <w:p w14:paraId="536D76D9">
            <w:pPr>
              <w:jc w:val="center"/>
              <w:rPr>
                <w:rFonts w:ascii="仿宋" w:hAnsi="仿宋" w:eastAsia="仿宋"/>
                <w:b/>
                <w:bCs/>
                <w:color w:val="auto"/>
                <w:sz w:val="18"/>
                <w:szCs w:val="18"/>
                <w:highlight w:val="none"/>
              </w:rPr>
            </w:pPr>
            <w:r>
              <w:rPr>
                <w:rFonts w:ascii="仿宋" w:hAnsi="仿宋" w:eastAsia="仿宋"/>
                <w:b/>
                <w:bCs/>
                <w:color w:val="auto"/>
                <w:sz w:val="18"/>
                <w:szCs w:val="18"/>
                <w:highlight w:val="none"/>
              </w:rPr>
              <w:t>成立日期</w:t>
            </w:r>
          </w:p>
        </w:tc>
        <w:tc>
          <w:tcPr>
            <w:tcW w:w="1209" w:type="dxa"/>
            <w:shd w:val="clear" w:color="000000" w:fill="FFFFFF"/>
            <w:noWrap/>
            <w:vAlign w:val="center"/>
          </w:tcPr>
          <w:p w14:paraId="340494B5">
            <w:pPr>
              <w:jc w:val="center"/>
              <w:rPr>
                <w:rFonts w:ascii="仿宋" w:hAnsi="仿宋" w:eastAsia="仿宋"/>
                <w:b/>
                <w:bCs/>
                <w:color w:val="auto"/>
                <w:sz w:val="18"/>
                <w:szCs w:val="18"/>
                <w:highlight w:val="none"/>
              </w:rPr>
            </w:pPr>
            <w:r>
              <w:rPr>
                <w:rFonts w:ascii="仿宋" w:hAnsi="仿宋" w:eastAsia="仿宋"/>
                <w:b/>
                <w:bCs/>
                <w:color w:val="auto"/>
                <w:sz w:val="18"/>
                <w:szCs w:val="18"/>
                <w:highlight w:val="none"/>
              </w:rPr>
              <w:t>持股比例</w:t>
            </w:r>
          </w:p>
          <w:p w14:paraId="716CC117">
            <w:pPr>
              <w:jc w:val="center"/>
              <w:rPr>
                <w:rFonts w:hint="eastAsia" w:ascii="仿宋" w:hAnsi="仿宋" w:eastAsia="仿宋"/>
                <w:b/>
                <w:bCs/>
                <w:color w:val="auto"/>
                <w:sz w:val="18"/>
                <w:szCs w:val="18"/>
                <w:highlight w:val="none"/>
                <w:lang w:eastAsia="zh-CN"/>
              </w:rPr>
            </w:pPr>
            <w:r>
              <w:rPr>
                <w:rFonts w:hint="eastAsia" w:ascii="仿宋" w:hAnsi="仿宋" w:eastAsia="仿宋"/>
                <w:b/>
                <w:bCs/>
                <w:color w:val="auto"/>
                <w:sz w:val="16"/>
                <w:szCs w:val="16"/>
                <w:highlight w:val="none"/>
                <w:lang w:eastAsia="zh-CN"/>
              </w:rPr>
              <w:t>（</w:t>
            </w:r>
            <w:r>
              <w:rPr>
                <w:rFonts w:hint="eastAsia" w:ascii="仿宋" w:hAnsi="仿宋" w:eastAsia="仿宋"/>
                <w:b/>
                <w:bCs/>
                <w:color w:val="auto"/>
                <w:sz w:val="16"/>
                <w:szCs w:val="16"/>
                <w:highlight w:val="none"/>
                <w:lang w:val="en-US" w:eastAsia="zh-CN"/>
              </w:rPr>
              <w:t>张璐燕</w:t>
            </w:r>
            <w:r>
              <w:rPr>
                <w:rFonts w:hint="eastAsia" w:ascii="仿宋" w:hAnsi="仿宋" w:eastAsia="仿宋"/>
                <w:b/>
                <w:bCs/>
                <w:color w:val="auto"/>
                <w:sz w:val="16"/>
                <w:szCs w:val="16"/>
                <w:highlight w:val="none"/>
                <w:lang w:eastAsia="zh-CN"/>
              </w:rPr>
              <w:t>）</w:t>
            </w:r>
          </w:p>
        </w:tc>
        <w:tc>
          <w:tcPr>
            <w:tcW w:w="1022" w:type="dxa"/>
            <w:shd w:val="clear" w:color="000000" w:fill="FFFFFF"/>
            <w:vAlign w:val="center"/>
          </w:tcPr>
          <w:p w14:paraId="0A04C95E">
            <w:pPr>
              <w:jc w:val="center"/>
              <w:rPr>
                <w:rFonts w:hint="eastAsia" w:ascii="仿宋" w:hAnsi="仿宋" w:eastAsia="仿宋"/>
                <w:b/>
                <w:bCs/>
                <w:color w:val="auto"/>
                <w:sz w:val="18"/>
                <w:szCs w:val="18"/>
                <w:highlight w:val="none"/>
                <w:lang w:eastAsia="zh-CN"/>
              </w:rPr>
            </w:pPr>
            <w:r>
              <w:rPr>
                <w:rFonts w:ascii="仿宋" w:hAnsi="仿宋" w:eastAsia="仿宋"/>
                <w:b/>
                <w:bCs/>
                <w:color w:val="auto"/>
                <w:sz w:val="18"/>
                <w:szCs w:val="18"/>
                <w:highlight w:val="none"/>
              </w:rPr>
              <w:t>持股比例</w:t>
            </w:r>
            <w:r>
              <w:rPr>
                <w:rFonts w:hint="eastAsia" w:ascii="仿宋" w:hAnsi="仿宋" w:eastAsia="仿宋"/>
                <w:b/>
                <w:bCs/>
                <w:color w:val="auto"/>
                <w:sz w:val="16"/>
                <w:szCs w:val="16"/>
                <w:highlight w:val="none"/>
                <w:lang w:eastAsia="zh-CN"/>
              </w:rPr>
              <w:t>（</w:t>
            </w:r>
            <w:r>
              <w:rPr>
                <w:rFonts w:hint="eastAsia" w:ascii="仿宋" w:hAnsi="仿宋" w:eastAsia="仿宋"/>
                <w:b/>
                <w:bCs/>
                <w:color w:val="auto"/>
                <w:sz w:val="16"/>
                <w:szCs w:val="16"/>
                <w:highlight w:val="none"/>
                <w:lang w:val="en-US" w:eastAsia="zh-CN"/>
              </w:rPr>
              <w:t>许宗奎</w:t>
            </w:r>
            <w:r>
              <w:rPr>
                <w:rFonts w:hint="eastAsia" w:ascii="仿宋" w:hAnsi="仿宋" w:eastAsia="仿宋"/>
                <w:b/>
                <w:bCs/>
                <w:color w:val="auto"/>
                <w:sz w:val="16"/>
                <w:szCs w:val="16"/>
                <w:highlight w:val="none"/>
                <w:lang w:eastAsia="zh-CN"/>
              </w:rPr>
              <w:t>）</w:t>
            </w:r>
          </w:p>
        </w:tc>
        <w:tc>
          <w:tcPr>
            <w:tcW w:w="4350" w:type="dxa"/>
            <w:shd w:val="clear" w:color="000000" w:fill="FFFFFF"/>
            <w:vAlign w:val="center"/>
          </w:tcPr>
          <w:p w14:paraId="77585DFE">
            <w:pPr>
              <w:jc w:val="center"/>
              <w:rPr>
                <w:rFonts w:ascii="仿宋" w:hAnsi="仿宋" w:eastAsia="仿宋"/>
                <w:b/>
                <w:bCs/>
                <w:color w:val="auto"/>
                <w:sz w:val="18"/>
                <w:szCs w:val="18"/>
                <w:highlight w:val="none"/>
              </w:rPr>
            </w:pPr>
            <w:r>
              <w:rPr>
                <w:rFonts w:ascii="仿宋" w:hAnsi="仿宋" w:eastAsia="仿宋"/>
                <w:b/>
                <w:bCs/>
                <w:color w:val="auto"/>
                <w:sz w:val="18"/>
                <w:szCs w:val="18"/>
                <w:highlight w:val="none"/>
              </w:rPr>
              <w:t>简介</w:t>
            </w:r>
          </w:p>
        </w:tc>
        <w:tc>
          <w:tcPr>
            <w:tcW w:w="1560" w:type="dxa"/>
            <w:shd w:val="clear" w:color="000000" w:fill="FFFFFF"/>
            <w:noWrap/>
            <w:vAlign w:val="center"/>
          </w:tcPr>
          <w:p w14:paraId="4E1097D3">
            <w:pPr>
              <w:jc w:val="center"/>
              <w:rPr>
                <w:rFonts w:ascii="仿宋" w:hAnsi="仿宋" w:eastAsia="仿宋"/>
                <w:b/>
                <w:bCs/>
                <w:color w:val="auto"/>
                <w:sz w:val="18"/>
                <w:szCs w:val="18"/>
                <w:highlight w:val="none"/>
              </w:rPr>
            </w:pPr>
            <w:r>
              <w:rPr>
                <w:rFonts w:ascii="仿宋" w:hAnsi="仿宋" w:eastAsia="仿宋"/>
                <w:b/>
                <w:bCs/>
                <w:color w:val="auto"/>
                <w:sz w:val="18"/>
                <w:szCs w:val="18"/>
                <w:highlight w:val="none"/>
              </w:rPr>
              <w:t>2023年销售收入（万元）</w:t>
            </w:r>
          </w:p>
        </w:tc>
        <w:tc>
          <w:tcPr>
            <w:tcW w:w="1545" w:type="dxa"/>
            <w:shd w:val="clear" w:color="000000" w:fill="FFFFFF"/>
            <w:noWrap/>
            <w:vAlign w:val="center"/>
          </w:tcPr>
          <w:p w14:paraId="0F0F8C92">
            <w:pPr>
              <w:jc w:val="center"/>
              <w:rPr>
                <w:rFonts w:ascii="仿宋" w:hAnsi="仿宋" w:eastAsia="仿宋"/>
                <w:b/>
                <w:bCs/>
                <w:color w:val="auto"/>
                <w:sz w:val="18"/>
                <w:szCs w:val="18"/>
                <w:highlight w:val="none"/>
              </w:rPr>
            </w:pPr>
            <w:r>
              <w:rPr>
                <w:rFonts w:ascii="仿宋" w:hAnsi="仿宋" w:eastAsia="仿宋"/>
                <w:b/>
                <w:bCs/>
                <w:color w:val="auto"/>
                <w:sz w:val="18"/>
                <w:szCs w:val="18"/>
                <w:highlight w:val="none"/>
              </w:rPr>
              <w:t>2023年净利润（万元）</w:t>
            </w:r>
          </w:p>
        </w:tc>
      </w:tr>
      <w:tr w14:paraId="386C6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304" w:type="dxa"/>
            <w:shd w:val="clear" w:color="000000" w:fill="FFFFFF"/>
            <w:noWrap/>
            <w:vAlign w:val="center"/>
          </w:tcPr>
          <w:p w14:paraId="358EED78">
            <w:pPr>
              <w:jc w:val="center"/>
              <w:rPr>
                <w:rFonts w:ascii="仿宋" w:hAnsi="仿宋" w:eastAsia="仿宋" w:cs="宋体"/>
                <w:color w:val="auto"/>
                <w:kern w:val="0"/>
                <w:sz w:val="18"/>
                <w:szCs w:val="18"/>
                <w:highlight w:val="none"/>
                <w:lang w:val="en-US" w:eastAsia="zh-CN" w:bidi="ar-SA"/>
              </w:rPr>
            </w:pPr>
            <w:r>
              <w:rPr>
                <w:rFonts w:hint="eastAsia" w:ascii="仿宋" w:hAnsi="仿宋" w:eastAsia="仿宋"/>
                <w:color w:val="auto"/>
                <w:sz w:val="18"/>
                <w:szCs w:val="18"/>
                <w:highlight w:val="none"/>
              </w:rPr>
              <w:t>新疆通力建设集团股份有限公司</w:t>
            </w:r>
          </w:p>
        </w:tc>
        <w:tc>
          <w:tcPr>
            <w:tcW w:w="945" w:type="dxa"/>
            <w:shd w:val="clear" w:color="000000" w:fill="FFFFFF"/>
            <w:noWrap/>
            <w:vAlign w:val="center"/>
          </w:tcPr>
          <w:p w14:paraId="61BB00E3">
            <w:pPr>
              <w:jc w:val="center"/>
              <w:rPr>
                <w:rFonts w:hint="default" w:ascii="仿宋" w:hAnsi="仿宋" w:eastAsia="仿宋" w:cs="宋体"/>
                <w:color w:val="auto"/>
                <w:kern w:val="0"/>
                <w:sz w:val="18"/>
                <w:szCs w:val="18"/>
                <w:highlight w:val="none"/>
                <w:lang w:val="en-US" w:eastAsia="zh-CN" w:bidi="ar-SA"/>
              </w:rPr>
            </w:pPr>
            <w:r>
              <w:rPr>
                <w:rFonts w:hint="eastAsia" w:ascii="仿宋" w:hAnsi="仿宋" w:eastAsia="仿宋"/>
                <w:color w:val="auto"/>
                <w:sz w:val="18"/>
                <w:szCs w:val="18"/>
                <w:highlight w:val="none"/>
                <w:lang w:val="en-US" w:eastAsia="zh-CN"/>
              </w:rPr>
              <w:t>2004.06.11</w:t>
            </w:r>
          </w:p>
        </w:tc>
        <w:tc>
          <w:tcPr>
            <w:tcW w:w="1209" w:type="dxa"/>
            <w:shd w:val="clear" w:color="000000" w:fill="FFFFFF"/>
            <w:noWrap/>
            <w:vAlign w:val="center"/>
          </w:tcPr>
          <w:p w14:paraId="0EAD073E">
            <w:pPr>
              <w:jc w:val="center"/>
              <w:rPr>
                <w:rFonts w:hint="default" w:ascii="仿宋" w:hAnsi="仿宋" w:eastAsia="仿宋" w:cs="宋体"/>
                <w:color w:val="auto"/>
                <w:kern w:val="0"/>
                <w:sz w:val="18"/>
                <w:szCs w:val="18"/>
                <w:highlight w:val="none"/>
                <w:lang w:val="en-US" w:eastAsia="zh-CN" w:bidi="ar-SA"/>
              </w:rPr>
            </w:pPr>
            <w:r>
              <w:rPr>
                <w:rFonts w:hint="eastAsia" w:ascii="仿宋" w:hAnsi="仿宋" w:eastAsia="仿宋" w:cs="宋体"/>
                <w:color w:val="auto"/>
                <w:kern w:val="0"/>
                <w:sz w:val="18"/>
                <w:szCs w:val="18"/>
                <w:highlight w:val="none"/>
                <w:lang w:val="en-US" w:eastAsia="zh-CN" w:bidi="ar-SA"/>
              </w:rPr>
              <w:t>0</w:t>
            </w:r>
          </w:p>
        </w:tc>
        <w:tc>
          <w:tcPr>
            <w:tcW w:w="1022" w:type="dxa"/>
            <w:shd w:val="clear" w:color="000000" w:fill="FFFFFF"/>
            <w:vAlign w:val="center"/>
          </w:tcPr>
          <w:p w14:paraId="76FAFFD0">
            <w:pPr>
              <w:jc w:val="center"/>
              <w:rPr>
                <w:rFonts w:hint="default" w:ascii="仿宋" w:hAnsi="仿宋" w:eastAsia="仿宋" w:cs="宋体"/>
                <w:color w:val="auto"/>
                <w:kern w:val="0"/>
                <w:sz w:val="18"/>
                <w:szCs w:val="18"/>
                <w:highlight w:val="none"/>
                <w:lang w:val="en-US" w:eastAsia="zh-CN" w:bidi="ar-SA"/>
              </w:rPr>
            </w:pPr>
            <w:r>
              <w:rPr>
                <w:rFonts w:hint="eastAsia" w:ascii="仿宋" w:hAnsi="仿宋" w:eastAsia="仿宋"/>
                <w:color w:val="auto"/>
                <w:sz w:val="18"/>
                <w:szCs w:val="18"/>
                <w:highlight w:val="none"/>
                <w:lang w:val="en-US" w:eastAsia="zh-CN"/>
              </w:rPr>
              <w:t>71.834%</w:t>
            </w:r>
          </w:p>
        </w:tc>
        <w:tc>
          <w:tcPr>
            <w:tcW w:w="4350" w:type="dxa"/>
            <w:shd w:val="clear" w:color="000000" w:fill="FFFFFF"/>
            <w:vAlign w:val="center"/>
          </w:tcPr>
          <w:p w14:paraId="30D0A5D1">
            <w:pPr>
              <w:jc w:val="both"/>
              <w:rPr>
                <w:rFonts w:hint="default" w:ascii="仿宋" w:hAnsi="仿宋" w:eastAsia="仿宋" w:cs="宋体"/>
                <w:color w:val="auto"/>
                <w:kern w:val="0"/>
                <w:sz w:val="18"/>
                <w:szCs w:val="18"/>
                <w:highlight w:val="none"/>
                <w:lang w:val="en-US" w:eastAsia="zh-CN" w:bidi="ar-SA"/>
              </w:rPr>
            </w:pPr>
            <w:r>
              <w:rPr>
                <w:rFonts w:hint="eastAsia" w:ascii="仿宋" w:hAnsi="仿宋" w:eastAsia="仿宋"/>
                <w:color w:val="auto"/>
                <w:sz w:val="18"/>
                <w:szCs w:val="18"/>
                <w:highlight w:val="none"/>
              </w:rPr>
              <w:t>新疆宝发农资集团有限公司</w:t>
            </w:r>
            <w:r>
              <w:rPr>
                <w:rFonts w:hint="eastAsia" w:ascii="仿宋" w:hAnsi="仿宋" w:eastAsia="仿宋"/>
                <w:color w:val="auto"/>
                <w:sz w:val="18"/>
                <w:szCs w:val="18"/>
                <w:highlight w:val="none"/>
                <w:lang w:val="en-US" w:eastAsia="zh-CN"/>
              </w:rPr>
              <w:t>持股52%，许宗奎持股19.834%</w:t>
            </w:r>
          </w:p>
        </w:tc>
        <w:tc>
          <w:tcPr>
            <w:tcW w:w="1560" w:type="dxa"/>
            <w:shd w:val="clear" w:color="000000" w:fill="FFFFFF"/>
            <w:noWrap/>
            <w:vAlign w:val="center"/>
          </w:tcPr>
          <w:p w14:paraId="39DD34A5">
            <w:pPr>
              <w:jc w:val="center"/>
              <w:rPr>
                <w:rFonts w:ascii="仿宋" w:hAnsi="仿宋" w:eastAsia="仿宋" w:cs="宋体"/>
                <w:color w:val="auto"/>
                <w:kern w:val="0"/>
                <w:sz w:val="18"/>
                <w:szCs w:val="18"/>
                <w:highlight w:val="none"/>
                <w:lang w:val="en-US" w:eastAsia="zh-CN" w:bidi="ar-SA"/>
              </w:rPr>
            </w:pPr>
            <w:r>
              <w:rPr>
                <w:rFonts w:hint="eastAsia" w:ascii="仿宋" w:hAnsi="仿宋" w:eastAsia="仿宋" w:cs="仿宋"/>
                <w:i w:val="0"/>
                <w:iCs w:val="0"/>
                <w:color w:val="000000"/>
                <w:kern w:val="0"/>
                <w:sz w:val="16"/>
                <w:szCs w:val="16"/>
                <w:u w:val="none"/>
                <w:lang w:val="en-US" w:eastAsia="zh-CN" w:bidi="ar"/>
              </w:rPr>
              <w:t>37953.18</w:t>
            </w:r>
          </w:p>
        </w:tc>
        <w:tc>
          <w:tcPr>
            <w:tcW w:w="1545" w:type="dxa"/>
            <w:shd w:val="clear" w:color="000000" w:fill="FFFFFF"/>
            <w:noWrap/>
            <w:vAlign w:val="center"/>
          </w:tcPr>
          <w:p w14:paraId="02691D5C">
            <w:pPr>
              <w:jc w:val="center"/>
              <w:rPr>
                <w:rFonts w:ascii="仿宋" w:hAnsi="仿宋" w:eastAsia="仿宋" w:cs="宋体"/>
                <w:color w:val="auto"/>
                <w:kern w:val="0"/>
                <w:sz w:val="18"/>
                <w:szCs w:val="18"/>
                <w:highlight w:val="none"/>
                <w:lang w:val="en-US" w:eastAsia="zh-CN" w:bidi="ar-SA"/>
              </w:rPr>
            </w:pPr>
            <w:r>
              <w:rPr>
                <w:rFonts w:hint="eastAsia" w:ascii="仿宋" w:hAnsi="仿宋" w:eastAsia="仿宋" w:cs="仿宋"/>
                <w:i w:val="0"/>
                <w:iCs w:val="0"/>
                <w:color w:val="000000"/>
                <w:kern w:val="0"/>
                <w:sz w:val="16"/>
                <w:szCs w:val="16"/>
                <w:u w:val="none"/>
                <w:lang w:val="en-US" w:eastAsia="zh-CN" w:bidi="ar"/>
              </w:rPr>
              <w:t>1449.43</w:t>
            </w:r>
          </w:p>
        </w:tc>
      </w:tr>
      <w:tr w14:paraId="15322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304" w:type="dxa"/>
            <w:shd w:val="clear" w:color="000000" w:fill="FFFFFF"/>
            <w:noWrap/>
            <w:vAlign w:val="center"/>
          </w:tcPr>
          <w:p w14:paraId="2A9FC292">
            <w:pPr>
              <w:jc w:val="center"/>
              <w:rPr>
                <w:rFonts w:ascii="仿宋" w:hAnsi="仿宋" w:eastAsia="仿宋" w:cs="宋体"/>
                <w:color w:val="000000"/>
                <w:kern w:val="0"/>
                <w:sz w:val="18"/>
                <w:szCs w:val="18"/>
                <w:highlight w:val="none"/>
                <w:lang w:val="en-US" w:eastAsia="zh-CN" w:bidi="ar-SA"/>
              </w:rPr>
            </w:pPr>
            <w:r>
              <w:rPr>
                <w:rFonts w:hint="eastAsia" w:ascii="仿宋" w:hAnsi="仿宋" w:eastAsia="仿宋"/>
                <w:color w:val="000000"/>
                <w:sz w:val="18"/>
                <w:szCs w:val="18"/>
                <w:highlight w:val="none"/>
              </w:rPr>
              <w:t>新疆通力塔格拉克水电有限公司</w:t>
            </w:r>
          </w:p>
        </w:tc>
        <w:tc>
          <w:tcPr>
            <w:tcW w:w="945" w:type="dxa"/>
            <w:shd w:val="clear" w:color="000000" w:fill="FFFFFF"/>
            <w:noWrap/>
            <w:vAlign w:val="center"/>
          </w:tcPr>
          <w:p w14:paraId="34B69D70">
            <w:pPr>
              <w:jc w:val="center"/>
              <w:rPr>
                <w:rFonts w:hint="default" w:ascii="仿宋" w:hAnsi="仿宋" w:eastAsia="仿宋" w:cs="宋体"/>
                <w:color w:val="000000"/>
                <w:kern w:val="0"/>
                <w:sz w:val="18"/>
                <w:szCs w:val="18"/>
                <w:highlight w:val="none"/>
                <w:lang w:val="en-US" w:eastAsia="zh-CN" w:bidi="ar-SA"/>
              </w:rPr>
            </w:pPr>
            <w:r>
              <w:rPr>
                <w:rFonts w:hint="eastAsia" w:ascii="仿宋" w:hAnsi="仿宋" w:eastAsia="仿宋"/>
                <w:color w:val="000000"/>
                <w:sz w:val="18"/>
                <w:szCs w:val="18"/>
                <w:highlight w:val="none"/>
                <w:lang w:val="en-US" w:eastAsia="zh-CN"/>
              </w:rPr>
              <w:t>2010.05.12</w:t>
            </w:r>
          </w:p>
        </w:tc>
        <w:tc>
          <w:tcPr>
            <w:tcW w:w="1209" w:type="dxa"/>
            <w:shd w:val="clear" w:color="000000" w:fill="FFFFFF"/>
            <w:noWrap/>
            <w:vAlign w:val="center"/>
          </w:tcPr>
          <w:p w14:paraId="589C54D4">
            <w:pPr>
              <w:jc w:val="center"/>
              <w:rPr>
                <w:rFonts w:hint="default" w:ascii="仿宋" w:hAnsi="仿宋" w:eastAsia="仿宋" w:cs="宋体"/>
                <w:color w:val="000000"/>
                <w:kern w:val="0"/>
                <w:sz w:val="18"/>
                <w:szCs w:val="18"/>
                <w:highlight w:val="none"/>
                <w:lang w:val="en-US" w:eastAsia="zh-CN" w:bidi="ar-SA"/>
              </w:rPr>
            </w:pPr>
            <w:r>
              <w:rPr>
                <w:rFonts w:hint="eastAsia" w:ascii="仿宋" w:hAnsi="仿宋" w:eastAsia="仿宋" w:cs="宋体"/>
                <w:color w:val="000000"/>
                <w:kern w:val="0"/>
                <w:sz w:val="18"/>
                <w:szCs w:val="18"/>
                <w:highlight w:val="none"/>
                <w:lang w:val="en-US" w:eastAsia="zh-CN" w:bidi="ar-SA"/>
              </w:rPr>
              <w:t>0</w:t>
            </w:r>
          </w:p>
        </w:tc>
        <w:tc>
          <w:tcPr>
            <w:tcW w:w="1022" w:type="dxa"/>
            <w:shd w:val="clear" w:color="000000" w:fill="FFFFFF"/>
            <w:vAlign w:val="center"/>
          </w:tcPr>
          <w:p w14:paraId="5FFC2C78">
            <w:pPr>
              <w:jc w:val="center"/>
              <w:rPr>
                <w:rFonts w:hint="default" w:ascii="仿宋" w:hAnsi="仿宋" w:eastAsia="仿宋" w:cs="宋体"/>
                <w:color w:val="000000"/>
                <w:kern w:val="0"/>
                <w:sz w:val="18"/>
                <w:szCs w:val="18"/>
                <w:highlight w:val="none"/>
                <w:lang w:val="en-US" w:eastAsia="zh-CN" w:bidi="ar-SA"/>
              </w:rPr>
            </w:pPr>
            <w:r>
              <w:rPr>
                <w:rFonts w:hint="eastAsia" w:ascii="仿宋" w:hAnsi="仿宋" w:eastAsia="仿宋"/>
                <w:color w:val="000000"/>
                <w:sz w:val="18"/>
                <w:szCs w:val="18"/>
                <w:highlight w:val="none"/>
                <w:lang w:val="en-US" w:eastAsia="zh-CN"/>
              </w:rPr>
              <w:t>100%</w:t>
            </w:r>
          </w:p>
        </w:tc>
        <w:tc>
          <w:tcPr>
            <w:tcW w:w="4350" w:type="dxa"/>
            <w:shd w:val="clear" w:color="000000" w:fill="FFFFFF"/>
            <w:vAlign w:val="center"/>
          </w:tcPr>
          <w:p w14:paraId="47A2A974">
            <w:pPr>
              <w:jc w:val="both"/>
              <w:rPr>
                <w:rFonts w:hint="default" w:ascii="仿宋" w:hAnsi="仿宋" w:eastAsia="仿宋" w:cs="宋体"/>
                <w:color w:val="000000"/>
                <w:kern w:val="0"/>
                <w:sz w:val="18"/>
                <w:szCs w:val="18"/>
                <w:highlight w:val="none"/>
                <w:lang w:val="en-US" w:eastAsia="zh-CN" w:bidi="ar-SA"/>
              </w:rPr>
            </w:pPr>
            <w:r>
              <w:rPr>
                <w:rFonts w:hint="eastAsia" w:ascii="仿宋" w:hAnsi="仿宋" w:eastAsia="仿宋"/>
                <w:color w:val="auto"/>
                <w:sz w:val="18"/>
                <w:szCs w:val="18"/>
                <w:highlight w:val="none"/>
              </w:rPr>
              <w:t>新疆通力建设集团股份有限公司</w:t>
            </w:r>
            <w:r>
              <w:rPr>
                <w:rFonts w:hint="eastAsia" w:ascii="仿宋" w:hAnsi="仿宋" w:eastAsia="仿宋"/>
                <w:color w:val="000000"/>
                <w:sz w:val="18"/>
                <w:szCs w:val="18"/>
                <w:highlight w:val="none"/>
                <w:lang w:val="en-US" w:eastAsia="zh-CN"/>
              </w:rPr>
              <w:t>100%控股子公司</w:t>
            </w:r>
          </w:p>
        </w:tc>
        <w:tc>
          <w:tcPr>
            <w:tcW w:w="1560" w:type="dxa"/>
            <w:shd w:val="clear" w:color="000000" w:fill="FFFFFF"/>
            <w:noWrap/>
            <w:vAlign w:val="center"/>
          </w:tcPr>
          <w:p w14:paraId="6C05694F">
            <w:pPr>
              <w:jc w:val="center"/>
              <w:rPr>
                <w:rFonts w:ascii="仿宋" w:hAnsi="仿宋" w:eastAsia="仿宋" w:cs="宋体"/>
                <w:color w:val="000000"/>
                <w:kern w:val="0"/>
                <w:sz w:val="18"/>
                <w:szCs w:val="18"/>
                <w:highlight w:val="none"/>
                <w:lang w:val="en-US" w:eastAsia="zh-CN" w:bidi="ar-SA"/>
              </w:rPr>
            </w:pPr>
            <w:r>
              <w:rPr>
                <w:rFonts w:hint="eastAsia" w:ascii="仿宋" w:hAnsi="仿宋" w:eastAsia="仿宋" w:cs="宋体"/>
                <w:color w:val="000000"/>
                <w:kern w:val="0"/>
                <w:sz w:val="18"/>
                <w:szCs w:val="18"/>
                <w:highlight w:val="none"/>
                <w:lang w:val="en-US" w:eastAsia="zh-CN" w:bidi="ar-SA"/>
              </w:rPr>
              <w:t>1673.52</w:t>
            </w:r>
          </w:p>
        </w:tc>
        <w:tc>
          <w:tcPr>
            <w:tcW w:w="1545" w:type="dxa"/>
            <w:shd w:val="clear" w:color="000000" w:fill="FFFFFF"/>
            <w:noWrap/>
            <w:vAlign w:val="center"/>
          </w:tcPr>
          <w:p w14:paraId="4263F5DD">
            <w:pPr>
              <w:jc w:val="center"/>
              <w:rPr>
                <w:rFonts w:ascii="仿宋" w:hAnsi="仿宋" w:eastAsia="仿宋" w:cs="宋体"/>
                <w:color w:val="000000"/>
                <w:kern w:val="0"/>
                <w:sz w:val="18"/>
                <w:szCs w:val="18"/>
                <w:highlight w:val="none"/>
                <w:lang w:val="en-US" w:eastAsia="zh-CN" w:bidi="ar-SA"/>
              </w:rPr>
            </w:pPr>
            <w:r>
              <w:rPr>
                <w:rFonts w:hint="eastAsia" w:ascii="仿宋" w:hAnsi="仿宋" w:eastAsia="仿宋" w:cs="仿宋"/>
                <w:i w:val="0"/>
                <w:iCs w:val="0"/>
                <w:color w:val="000000"/>
                <w:kern w:val="0"/>
                <w:sz w:val="16"/>
                <w:szCs w:val="16"/>
                <w:u w:val="none"/>
                <w:lang w:val="en-US" w:eastAsia="zh-CN" w:bidi="ar"/>
              </w:rPr>
              <w:t>141.35</w:t>
            </w:r>
          </w:p>
        </w:tc>
      </w:tr>
      <w:tr w14:paraId="42254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04" w:type="dxa"/>
            <w:shd w:val="clear" w:color="000000" w:fill="FFFFFF"/>
            <w:noWrap/>
            <w:vAlign w:val="center"/>
          </w:tcPr>
          <w:p w14:paraId="28C607D0">
            <w:pPr>
              <w:jc w:val="center"/>
              <w:rPr>
                <w:rFonts w:ascii="仿宋" w:hAnsi="仿宋" w:eastAsia="仿宋" w:cs="宋体"/>
                <w:color w:val="000000"/>
                <w:kern w:val="0"/>
                <w:sz w:val="18"/>
                <w:szCs w:val="18"/>
                <w:highlight w:val="none"/>
                <w:lang w:val="en-US" w:eastAsia="zh-CN" w:bidi="ar-SA"/>
              </w:rPr>
            </w:pPr>
            <w:r>
              <w:rPr>
                <w:rFonts w:hint="eastAsia" w:ascii="仿宋" w:hAnsi="仿宋" w:eastAsia="仿宋"/>
                <w:color w:val="000000"/>
                <w:sz w:val="18"/>
                <w:szCs w:val="18"/>
                <w:highlight w:val="none"/>
              </w:rPr>
              <w:t>且末县通力水电有限责任公司</w:t>
            </w:r>
          </w:p>
        </w:tc>
        <w:tc>
          <w:tcPr>
            <w:tcW w:w="945" w:type="dxa"/>
            <w:shd w:val="clear" w:color="000000" w:fill="FFFFFF"/>
            <w:noWrap/>
            <w:vAlign w:val="center"/>
          </w:tcPr>
          <w:p w14:paraId="657D081A">
            <w:pPr>
              <w:jc w:val="center"/>
              <w:rPr>
                <w:rFonts w:hint="default" w:ascii="仿宋" w:hAnsi="仿宋" w:eastAsia="仿宋" w:cs="宋体"/>
                <w:color w:val="000000"/>
                <w:kern w:val="0"/>
                <w:sz w:val="18"/>
                <w:szCs w:val="18"/>
                <w:highlight w:val="none"/>
                <w:lang w:val="en-US" w:eastAsia="zh-CN" w:bidi="ar-SA"/>
              </w:rPr>
            </w:pPr>
            <w:r>
              <w:rPr>
                <w:rFonts w:hint="eastAsia" w:ascii="仿宋" w:hAnsi="仿宋" w:eastAsia="仿宋"/>
                <w:color w:val="000000"/>
                <w:sz w:val="18"/>
                <w:szCs w:val="18"/>
                <w:highlight w:val="none"/>
                <w:lang w:val="en-US" w:eastAsia="zh-CN"/>
              </w:rPr>
              <w:t>2014.03.19</w:t>
            </w:r>
          </w:p>
        </w:tc>
        <w:tc>
          <w:tcPr>
            <w:tcW w:w="1209" w:type="dxa"/>
            <w:shd w:val="clear" w:color="000000" w:fill="FFFFFF"/>
            <w:noWrap/>
            <w:vAlign w:val="center"/>
          </w:tcPr>
          <w:p w14:paraId="4375E402">
            <w:pPr>
              <w:jc w:val="center"/>
              <w:rPr>
                <w:rFonts w:hint="default" w:ascii="仿宋" w:hAnsi="仿宋" w:eastAsia="仿宋" w:cs="宋体"/>
                <w:color w:val="000000"/>
                <w:kern w:val="0"/>
                <w:sz w:val="18"/>
                <w:szCs w:val="18"/>
                <w:highlight w:val="none"/>
                <w:lang w:val="en-US" w:eastAsia="zh-CN" w:bidi="ar-SA"/>
              </w:rPr>
            </w:pPr>
            <w:r>
              <w:rPr>
                <w:rFonts w:hint="eastAsia" w:ascii="仿宋" w:hAnsi="仿宋" w:eastAsia="仿宋" w:cs="宋体"/>
                <w:color w:val="000000"/>
                <w:kern w:val="0"/>
                <w:sz w:val="18"/>
                <w:szCs w:val="18"/>
                <w:highlight w:val="none"/>
                <w:lang w:val="en-US" w:eastAsia="zh-CN" w:bidi="ar-SA"/>
              </w:rPr>
              <w:t>0</w:t>
            </w:r>
          </w:p>
        </w:tc>
        <w:tc>
          <w:tcPr>
            <w:tcW w:w="1022" w:type="dxa"/>
            <w:shd w:val="clear" w:color="000000" w:fill="FFFFFF"/>
            <w:vAlign w:val="center"/>
          </w:tcPr>
          <w:p w14:paraId="7C4AAB96">
            <w:pPr>
              <w:jc w:val="center"/>
              <w:rPr>
                <w:rFonts w:ascii="仿宋" w:hAnsi="仿宋" w:eastAsia="仿宋" w:cs="宋体"/>
                <w:color w:val="000000"/>
                <w:kern w:val="0"/>
                <w:sz w:val="18"/>
                <w:szCs w:val="18"/>
                <w:highlight w:val="none"/>
                <w:lang w:val="en-US" w:eastAsia="zh-CN" w:bidi="ar-SA"/>
              </w:rPr>
            </w:pPr>
            <w:r>
              <w:rPr>
                <w:rFonts w:hint="eastAsia" w:ascii="仿宋" w:hAnsi="仿宋" w:eastAsia="仿宋"/>
                <w:color w:val="000000"/>
                <w:sz w:val="18"/>
                <w:szCs w:val="18"/>
                <w:highlight w:val="none"/>
                <w:lang w:val="en-US" w:eastAsia="zh-CN"/>
              </w:rPr>
              <w:t>100%</w:t>
            </w:r>
          </w:p>
        </w:tc>
        <w:tc>
          <w:tcPr>
            <w:tcW w:w="4350" w:type="dxa"/>
            <w:shd w:val="clear" w:color="000000" w:fill="FFFFFF"/>
            <w:vAlign w:val="center"/>
          </w:tcPr>
          <w:p w14:paraId="15A3657D">
            <w:pPr>
              <w:jc w:val="both"/>
              <w:rPr>
                <w:rFonts w:ascii="仿宋" w:hAnsi="仿宋" w:eastAsia="仿宋" w:cs="宋体"/>
                <w:color w:val="000000"/>
                <w:kern w:val="0"/>
                <w:sz w:val="18"/>
                <w:szCs w:val="18"/>
                <w:highlight w:val="none"/>
                <w:lang w:val="en-US" w:eastAsia="zh-CN" w:bidi="ar-SA"/>
              </w:rPr>
            </w:pPr>
            <w:r>
              <w:rPr>
                <w:rFonts w:hint="eastAsia" w:ascii="仿宋" w:hAnsi="仿宋" w:eastAsia="仿宋"/>
                <w:color w:val="000000"/>
                <w:sz w:val="18"/>
                <w:szCs w:val="18"/>
                <w:highlight w:val="none"/>
              </w:rPr>
              <w:t>新疆通力塔格拉克水电有限公司99.9754%、创晅（上海）能源科技有限责任公司0.0246%</w:t>
            </w:r>
          </w:p>
        </w:tc>
        <w:tc>
          <w:tcPr>
            <w:tcW w:w="1560" w:type="dxa"/>
            <w:shd w:val="clear" w:color="000000" w:fill="FFFFFF"/>
            <w:noWrap/>
            <w:vAlign w:val="center"/>
          </w:tcPr>
          <w:p w14:paraId="323D3261">
            <w:pPr>
              <w:jc w:val="center"/>
              <w:rPr>
                <w:rFonts w:ascii="仿宋" w:hAnsi="仿宋" w:eastAsia="仿宋" w:cs="宋体"/>
                <w:color w:val="000000"/>
                <w:kern w:val="0"/>
                <w:sz w:val="18"/>
                <w:szCs w:val="18"/>
                <w:highlight w:val="none"/>
                <w:lang w:val="en-US" w:eastAsia="zh-CN" w:bidi="ar-SA"/>
              </w:rPr>
            </w:pPr>
            <w:r>
              <w:rPr>
                <w:rFonts w:hint="eastAsia" w:ascii="仿宋" w:hAnsi="仿宋" w:eastAsia="仿宋" w:cs="宋体"/>
                <w:color w:val="000000"/>
                <w:kern w:val="0"/>
                <w:sz w:val="18"/>
                <w:szCs w:val="18"/>
                <w:highlight w:val="none"/>
                <w:lang w:val="en-US" w:eastAsia="zh-CN" w:bidi="ar-SA"/>
              </w:rPr>
              <w:t>297.48</w:t>
            </w:r>
          </w:p>
        </w:tc>
        <w:tc>
          <w:tcPr>
            <w:tcW w:w="1545" w:type="dxa"/>
            <w:shd w:val="clear" w:color="000000" w:fill="FFFFFF"/>
            <w:noWrap/>
            <w:vAlign w:val="center"/>
          </w:tcPr>
          <w:p w14:paraId="56DF609C">
            <w:pPr>
              <w:jc w:val="center"/>
              <w:rPr>
                <w:rFonts w:ascii="仿宋" w:hAnsi="仿宋" w:eastAsia="仿宋" w:cs="宋体"/>
                <w:color w:val="000000"/>
                <w:kern w:val="0"/>
                <w:sz w:val="18"/>
                <w:szCs w:val="18"/>
                <w:highlight w:val="none"/>
                <w:lang w:val="en-US" w:eastAsia="zh-CN" w:bidi="ar-SA"/>
              </w:rPr>
            </w:pPr>
            <w:r>
              <w:rPr>
                <w:rFonts w:hint="eastAsia" w:ascii="仿宋" w:hAnsi="仿宋" w:eastAsia="仿宋" w:cs="仿宋"/>
                <w:i w:val="0"/>
                <w:iCs w:val="0"/>
                <w:color w:val="000000"/>
                <w:kern w:val="0"/>
                <w:sz w:val="16"/>
                <w:szCs w:val="16"/>
                <w:u w:val="none"/>
                <w:lang w:val="en-US" w:eastAsia="zh-CN" w:bidi="ar"/>
              </w:rPr>
              <w:t>1.53</w:t>
            </w:r>
          </w:p>
        </w:tc>
      </w:tr>
      <w:tr w14:paraId="0C317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304" w:type="dxa"/>
            <w:shd w:val="clear" w:color="000000" w:fill="FFFFFF"/>
            <w:noWrap/>
            <w:vAlign w:val="center"/>
          </w:tcPr>
          <w:p w14:paraId="5FF8614D">
            <w:pPr>
              <w:jc w:val="center"/>
              <w:rPr>
                <w:rFonts w:ascii="仿宋" w:hAnsi="仿宋" w:eastAsia="仿宋" w:cs="宋体"/>
                <w:color w:val="000000"/>
                <w:kern w:val="0"/>
                <w:sz w:val="18"/>
                <w:szCs w:val="18"/>
                <w:highlight w:val="none"/>
                <w:lang w:val="en-US" w:eastAsia="zh-CN" w:bidi="ar-SA"/>
              </w:rPr>
            </w:pPr>
            <w:r>
              <w:rPr>
                <w:rFonts w:hint="eastAsia" w:ascii="仿宋" w:hAnsi="仿宋" w:eastAsia="仿宋"/>
                <w:color w:val="000000"/>
                <w:sz w:val="18"/>
                <w:szCs w:val="18"/>
                <w:highlight w:val="none"/>
              </w:rPr>
              <w:t>巴州温和水电开发有限公司</w:t>
            </w:r>
          </w:p>
        </w:tc>
        <w:tc>
          <w:tcPr>
            <w:tcW w:w="945" w:type="dxa"/>
            <w:shd w:val="clear" w:color="000000" w:fill="FFFFFF"/>
            <w:noWrap/>
            <w:vAlign w:val="center"/>
          </w:tcPr>
          <w:p w14:paraId="6F10A5A8">
            <w:pPr>
              <w:jc w:val="center"/>
              <w:rPr>
                <w:rFonts w:hint="default" w:ascii="仿宋" w:hAnsi="仿宋" w:eastAsia="仿宋" w:cs="宋体"/>
                <w:color w:val="000000"/>
                <w:kern w:val="0"/>
                <w:sz w:val="18"/>
                <w:szCs w:val="18"/>
                <w:highlight w:val="none"/>
                <w:lang w:val="en-US" w:eastAsia="zh-CN" w:bidi="ar-SA"/>
              </w:rPr>
            </w:pPr>
            <w:r>
              <w:rPr>
                <w:rFonts w:hint="eastAsia" w:ascii="仿宋" w:hAnsi="仿宋" w:eastAsia="仿宋"/>
                <w:color w:val="000000"/>
                <w:sz w:val="18"/>
                <w:szCs w:val="18"/>
                <w:highlight w:val="none"/>
                <w:lang w:val="en-US" w:eastAsia="zh-CN"/>
              </w:rPr>
              <w:t>2013.01.10</w:t>
            </w:r>
          </w:p>
        </w:tc>
        <w:tc>
          <w:tcPr>
            <w:tcW w:w="1209" w:type="dxa"/>
            <w:shd w:val="clear" w:color="000000" w:fill="FFFFFF"/>
            <w:noWrap/>
            <w:vAlign w:val="center"/>
          </w:tcPr>
          <w:p w14:paraId="36AFCF47">
            <w:pPr>
              <w:jc w:val="center"/>
              <w:rPr>
                <w:rFonts w:ascii="仿宋" w:hAnsi="仿宋" w:eastAsia="仿宋" w:cs="宋体"/>
                <w:color w:val="000000"/>
                <w:kern w:val="0"/>
                <w:sz w:val="18"/>
                <w:szCs w:val="18"/>
                <w:highlight w:val="none"/>
                <w:lang w:val="en-US" w:eastAsia="zh-CN" w:bidi="ar-SA"/>
              </w:rPr>
            </w:pPr>
            <w:r>
              <w:rPr>
                <w:rFonts w:hint="eastAsia" w:ascii="仿宋" w:hAnsi="仿宋" w:eastAsia="仿宋"/>
                <w:color w:val="000000"/>
                <w:sz w:val="18"/>
                <w:szCs w:val="18"/>
                <w:highlight w:val="none"/>
                <w:lang w:val="en-US" w:eastAsia="zh-CN"/>
              </w:rPr>
              <w:t>41%</w:t>
            </w:r>
          </w:p>
        </w:tc>
        <w:tc>
          <w:tcPr>
            <w:tcW w:w="1022" w:type="dxa"/>
            <w:shd w:val="clear" w:color="000000" w:fill="FFFFFF"/>
            <w:vAlign w:val="center"/>
          </w:tcPr>
          <w:p w14:paraId="09DFA813">
            <w:pPr>
              <w:jc w:val="center"/>
              <w:rPr>
                <w:rFonts w:hint="default" w:ascii="仿宋" w:hAnsi="仿宋" w:eastAsia="仿宋" w:cs="宋体"/>
                <w:color w:val="000000"/>
                <w:kern w:val="0"/>
                <w:sz w:val="18"/>
                <w:szCs w:val="18"/>
                <w:highlight w:val="none"/>
                <w:lang w:val="en-US" w:eastAsia="zh-CN" w:bidi="ar-SA"/>
              </w:rPr>
            </w:pPr>
            <w:r>
              <w:rPr>
                <w:rFonts w:hint="eastAsia" w:ascii="仿宋" w:hAnsi="仿宋" w:eastAsia="仿宋" w:cs="宋体"/>
                <w:color w:val="000000"/>
                <w:kern w:val="0"/>
                <w:sz w:val="18"/>
                <w:szCs w:val="18"/>
                <w:highlight w:val="none"/>
                <w:lang w:val="en-US" w:eastAsia="zh-CN" w:bidi="ar-SA"/>
              </w:rPr>
              <w:t>45%</w:t>
            </w:r>
          </w:p>
        </w:tc>
        <w:tc>
          <w:tcPr>
            <w:tcW w:w="4350" w:type="dxa"/>
            <w:shd w:val="clear" w:color="000000" w:fill="FFFFFF"/>
            <w:vAlign w:val="center"/>
          </w:tcPr>
          <w:p w14:paraId="08C11BEB">
            <w:pPr>
              <w:jc w:val="both"/>
              <w:rPr>
                <w:rFonts w:ascii="仿宋" w:hAnsi="仿宋" w:eastAsia="仿宋" w:cs="宋体"/>
                <w:color w:val="000000"/>
                <w:kern w:val="0"/>
                <w:sz w:val="18"/>
                <w:szCs w:val="18"/>
                <w:highlight w:val="none"/>
                <w:lang w:val="en-US" w:eastAsia="zh-CN" w:bidi="ar-SA"/>
              </w:rPr>
            </w:pPr>
            <w:r>
              <w:rPr>
                <w:rFonts w:hint="eastAsia" w:ascii="仿宋" w:hAnsi="仿宋" w:eastAsia="仿宋"/>
                <w:color w:val="000000"/>
                <w:sz w:val="18"/>
                <w:szCs w:val="18"/>
                <w:highlight w:val="none"/>
              </w:rPr>
              <w:t>智辉源（上海）科技服务有限责任公司75%、创晅（上海）能源科技有限责任公司25%</w:t>
            </w:r>
          </w:p>
        </w:tc>
        <w:tc>
          <w:tcPr>
            <w:tcW w:w="1560" w:type="dxa"/>
            <w:shd w:val="clear" w:color="000000" w:fill="FFFFFF"/>
            <w:noWrap/>
            <w:vAlign w:val="center"/>
          </w:tcPr>
          <w:p w14:paraId="71882D91">
            <w:pPr>
              <w:jc w:val="center"/>
              <w:rPr>
                <w:rFonts w:ascii="仿宋" w:hAnsi="仿宋" w:eastAsia="仿宋" w:cs="宋体"/>
                <w:color w:val="000000"/>
                <w:kern w:val="0"/>
                <w:sz w:val="18"/>
                <w:szCs w:val="18"/>
                <w:highlight w:val="none"/>
                <w:lang w:val="en-US" w:eastAsia="zh-CN" w:bidi="ar-SA"/>
              </w:rPr>
            </w:pPr>
            <w:r>
              <w:rPr>
                <w:rFonts w:hint="eastAsia" w:ascii="仿宋" w:hAnsi="仿宋" w:eastAsia="仿宋" w:cs="宋体"/>
                <w:color w:val="000000"/>
                <w:kern w:val="0"/>
                <w:sz w:val="18"/>
                <w:szCs w:val="18"/>
                <w:highlight w:val="none"/>
                <w:lang w:val="en-US" w:eastAsia="zh-CN" w:bidi="ar-SA"/>
              </w:rPr>
              <w:t>1285.93</w:t>
            </w:r>
          </w:p>
        </w:tc>
        <w:tc>
          <w:tcPr>
            <w:tcW w:w="1545" w:type="dxa"/>
            <w:shd w:val="clear" w:color="000000" w:fill="FFFFFF"/>
            <w:noWrap/>
            <w:vAlign w:val="center"/>
          </w:tcPr>
          <w:p w14:paraId="1C4D1782">
            <w:pPr>
              <w:jc w:val="center"/>
              <w:rPr>
                <w:rFonts w:ascii="仿宋" w:hAnsi="仿宋" w:eastAsia="仿宋" w:cs="宋体"/>
                <w:color w:val="000000"/>
                <w:kern w:val="0"/>
                <w:sz w:val="18"/>
                <w:szCs w:val="18"/>
                <w:highlight w:val="none"/>
                <w:lang w:val="en-US" w:eastAsia="zh-CN" w:bidi="ar-SA"/>
              </w:rPr>
            </w:pPr>
            <w:r>
              <w:rPr>
                <w:rFonts w:hint="eastAsia" w:ascii="仿宋" w:hAnsi="仿宋" w:eastAsia="仿宋" w:cs="仿宋"/>
                <w:i w:val="0"/>
                <w:iCs w:val="0"/>
                <w:color w:val="000000"/>
                <w:kern w:val="0"/>
                <w:sz w:val="16"/>
                <w:szCs w:val="16"/>
                <w:u w:val="none"/>
                <w:lang w:val="en-US" w:eastAsia="zh-CN" w:bidi="ar"/>
              </w:rPr>
              <w:t>-45.27</w:t>
            </w:r>
          </w:p>
        </w:tc>
      </w:tr>
      <w:tr w14:paraId="6B9F4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304" w:type="dxa"/>
            <w:shd w:val="clear" w:color="000000" w:fill="FFFFFF"/>
            <w:noWrap/>
            <w:vAlign w:val="center"/>
          </w:tcPr>
          <w:p w14:paraId="6DB14D03">
            <w:pPr>
              <w:jc w:val="center"/>
              <w:rPr>
                <w:rFonts w:ascii="仿宋" w:hAnsi="仿宋" w:eastAsia="仿宋" w:cs="宋体"/>
                <w:color w:val="000000"/>
                <w:kern w:val="0"/>
                <w:sz w:val="18"/>
                <w:szCs w:val="18"/>
                <w:highlight w:val="none"/>
                <w:lang w:val="en-US" w:eastAsia="zh-CN" w:bidi="ar-SA"/>
              </w:rPr>
            </w:pPr>
            <w:r>
              <w:rPr>
                <w:rFonts w:hint="eastAsia" w:ascii="仿宋" w:hAnsi="仿宋" w:eastAsia="仿宋"/>
                <w:color w:val="000000"/>
                <w:sz w:val="18"/>
                <w:szCs w:val="18"/>
                <w:highlight w:val="none"/>
              </w:rPr>
              <w:t>新疆鸿昌能源投资有限公司</w:t>
            </w:r>
          </w:p>
        </w:tc>
        <w:tc>
          <w:tcPr>
            <w:tcW w:w="945" w:type="dxa"/>
            <w:shd w:val="clear" w:color="000000" w:fill="FFFFFF"/>
            <w:noWrap/>
            <w:vAlign w:val="center"/>
          </w:tcPr>
          <w:p w14:paraId="56CCA625">
            <w:pPr>
              <w:jc w:val="center"/>
              <w:rPr>
                <w:rFonts w:hint="default" w:ascii="仿宋" w:hAnsi="仿宋" w:eastAsia="仿宋" w:cs="宋体"/>
                <w:color w:val="000000"/>
                <w:kern w:val="0"/>
                <w:sz w:val="18"/>
                <w:szCs w:val="18"/>
                <w:highlight w:val="none"/>
                <w:lang w:val="en-US" w:eastAsia="zh-CN" w:bidi="ar-SA"/>
              </w:rPr>
            </w:pPr>
            <w:r>
              <w:rPr>
                <w:rFonts w:hint="eastAsia" w:ascii="仿宋" w:hAnsi="仿宋" w:eastAsia="仿宋"/>
                <w:color w:val="000000"/>
                <w:sz w:val="18"/>
                <w:szCs w:val="18"/>
                <w:highlight w:val="none"/>
                <w:lang w:val="en-US" w:eastAsia="zh-CN"/>
              </w:rPr>
              <w:t>2009.06.19</w:t>
            </w:r>
          </w:p>
        </w:tc>
        <w:tc>
          <w:tcPr>
            <w:tcW w:w="1209" w:type="dxa"/>
            <w:shd w:val="clear" w:color="000000" w:fill="FFFFFF"/>
            <w:noWrap/>
            <w:vAlign w:val="center"/>
          </w:tcPr>
          <w:p w14:paraId="73CBA23B">
            <w:pPr>
              <w:jc w:val="center"/>
              <w:rPr>
                <w:rFonts w:hint="default" w:ascii="仿宋" w:hAnsi="仿宋" w:eastAsia="仿宋" w:cs="宋体"/>
                <w:color w:val="000000"/>
                <w:kern w:val="0"/>
                <w:sz w:val="18"/>
                <w:szCs w:val="18"/>
                <w:highlight w:val="none"/>
                <w:lang w:val="en-US" w:eastAsia="zh-CN" w:bidi="ar-SA"/>
              </w:rPr>
            </w:pPr>
            <w:r>
              <w:rPr>
                <w:rFonts w:hint="eastAsia" w:ascii="仿宋" w:hAnsi="仿宋" w:eastAsia="仿宋" w:cs="宋体"/>
                <w:color w:val="000000"/>
                <w:kern w:val="0"/>
                <w:sz w:val="18"/>
                <w:szCs w:val="18"/>
                <w:highlight w:val="none"/>
                <w:lang w:val="en-US" w:eastAsia="zh-CN" w:bidi="ar-SA"/>
              </w:rPr>
              <w:t>41%</w:t>
            </w:r>
          </w:p>
        </w:tc>
        <w:tc>
          <w:tcPr>
            <w:tcW w:w="1022" w:type="dxa"/>
            <w:shd w:val="clear" w:color="000000" w:fill="FFFFFF"/>
            <w:vAlign w:val="center"/>
          </w:tcPr>
          <w:p w14:paraId="1955AA9C">
            <w:pPr>
              <w:jc w:val="center"/>
              <w:rPr>
                <w:rFonts w:hint="default" w:ascii="仿宋" w:hAnsi="仿宋" w:eastAsia="仿宋" w:cs="宋体"/>
                <w:color w:val="000000"/>
                <w:kern w:val="0"/>
                <w:sz w:val="18"/>
                <w:szCs w:val="18"/>
                <w:highlight w:val="none"/>
                <w:lang w:val="en-US" w:eastAsia="zh-CN" w:bidi="ar-SA"/>
              </w:rPr>
            </w:pPr>
            <w:r>
              <w:rPr>
                <w:rFonts w:hint="eastAsia" w:ascii="仿宋" w:hAnsi="仿宋" w:eastAsia="仿宋" w:cs="宋体"/>
                <w:color w:val="000000"/>
                <w:kern w:val="0"/>
                <w:sz w:val="18"/>
                <w:szCs w:val="18"/>
                <w:highlight w:val="none"/>
                <w:lang w:val="en-US" w:eastAsia="zh-CN" w:bidi="ar-SA"/>
              </w:rPr>
              <w:t>45%</w:t>
            </w:r>
          </w:p>
        </w:tc>
        <w:tc>
          <w:tcPr>
            <w:tcW w:w="4350" w:type="dxa"/>
            <w:shd w:val="clear" w:color="000000" w:fill="FFFFFF"/>
            <w:vAlign w:val="center"/>
          </w:tcPr>
          <w:p w14:paraId="7E0B288B">
            <w:pPr>
              <w:jc w:val="both"/>
              <w:rPr>
                <w:rFonts w:ascii="仿宋" w:hAnsi="仿宋" w:eastAsia="仿宋" w:cs="宋体"/>
                <w:color w:val="000000"/>
                <w:kern w:val="0"/>
                <w:sz w:val="18"/>
                <w:szCs w:val="18"/>
                <w:highlight w:val="none"/>
                <w:lang w:val="en-US" w:eastAsia="zh-CN" w:bidi="ar-SA"/>
              </w:rPr>
            </w:pPr>
            <w:r>
              <w:rPr>
                <w:rFonts w:hint="eastAsia" w:ascii="仿宋" w:hAnsi="仿宋" w:eastAsia="仿宋"/>
                <w:color w:val="000000"/>
                <w:sz w:val="18"/>
                <w:szCs w:val="18"/>
                <w:highlight w:val="none"/>
              </w:rPr>
              <w:t>创晅（上海）能源科技有限责任公司100%</w:t>
            </w:r>
          </w:p>
        </w:tc>
        <w:tc>
          <w:tcPr>
            <w:tcW w:w="1560" w:type="dxa"/>
            <w:shd w:val="clear" w:color="000000" w:fill="FFFFFF"/>
            <w:noWrap/>
            <w:vAlign w:val="center"/>
          </w:tcPr>
          <w:p w14:paraId="57484056">
            <w:pPr>
              <w:jc w:val="center"/>
              <w:rPr>
                <w:rFonts w:ascii="仿宋" w:hAnsi="仿宋" w:eastAsia="仿宋" w:cs="宋体"/>
                <w:color w:val="000000"/>
                <w:kern w:val="0"/>
                <w:sz w:val="18"/>
                <w:szCs w:val="18"/>
                <w:highlight w:val="none"/>
                <w:lang w:val="en-US" w:eastAsia="zh-CN" w:bidi="ar-SA"/>
              </w:rPr>
            </w:pPr>
            <w:r>
              <w:rPr>
                <w:rFonts w:hint="eastAsia" w:ascii="仿宋" w:hAnsi="仿宋" w:eastAsia="仿宋" w:cs="仿宋"/>
                <w:i w:val="0"/>
                <w:iCs w:val="0"/>
                <w:color w:val="000000"/>
                <w:kern w:val="0"/>
                <w:sz w:val="16"/>
                <w:szCs w:val="16"/>
                <w:u w:val="none"/>
                <w:lang w:val="en-US" w:eastAsia="zh-CN" w:bidi="ar"/>
              </w:rPr>
              <w:t>1480.73</w:t>
            </w:r>
          </w:p>
        </w:tc>
        <w:tc>
          <w:tcPr>
            <w:tcW w:w="1545" w:type="dxa"/>
            <w:shd w:val="clear" w:color="000000" w:fill="FFFFFF"/>
            <w:noWrap/>
            <w:vAlign w:val="center"/>
          </w:tcPr>
          <w:p w14:paraId="0D3439DC">
            <w:pPr>
              <w:jc w:val="center"/>
              <w:rPr>
                <w:rFonts w:ascii="仿宋" w:hAnsi="仿宋" w:eastAsia="仿宋" w:cs="宋体"/>
                <w:color w:val="000000"/>
                <w:kern w:val="0"/>
                <w:sz w:val="18"/>
                <w:szCs w:val="18"/>
                <w:highlight w:val="none"/>
                <w:lang w:val="en-US" w:eastAsia="zh-CN" w:bidi="ar-SA"/>
              </w:rPr>
            </w:pPr>
            <w:r>
              <w:rPr>
                <w:rFonts w:hint="eastAsia" w:ascii="仿宋" w:hAnsi="仿宋" w:eastAsia="仿宋" w:cs="仿宋"/>
                <w:i w:val="0"/>
                <w:iCs w:val="0"/>
                <w:color w:val="000000"/>
                <w:kern w:val="0"/>
                <w:sz w:val="16"/>
                <w:szCs w:val="16"/>
                <w:u w:val="none"/>
                <w:lang w:val="en-US" w:eastAsia="zh-CN" w:bidi="ar"/>
              </w:rPr>
              <w:t>-147.38</w:t>
            </w:r>
          </w:p>
        </w:tc>
      </w:tr>
      <w:tr w14:paraId="63B53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304" w:type="dxa"/>
            <w:shd w:val="clear" w:color="000000" w:fill="FFFFFF"/>
            <w:noWrap/>
            <w:vAlign w:val="center"/>
          </w:tcPr>
          <w:p w14:paraId="74A7AD94">
            <w:pPr>
              <w:jc w:val="center"/>
              <w:rPr>
                <w:rFonts w:ascii="仿宋" w:hAnsi="仿宋" w:eastAsia="仿宋" w:cs="宋体"/>
                <w:color w:val="000000"/>
                <w:kern w:val="0"/>
                <w:sz w:val="18"/>
                <w:szCs w:val="18"/>
                <w:highlight w:val="none"/>
                <w:lang w:val="en-US" w:eastAsia="zh-CN" w:bidi="ar-SA"/>
              </w:rPr>
            </w:pPr>
            <w:r>
              <w:rPr>
                <w:rFonts w:hint="eastAsia" w:ascii="仿宋" w:hAnsi="仿宋" w:eastAsia="仿宋"/>
                <w:color w:val="000000"/>
                <w:sz w:val="18"/>
                <w:szCs w:val="18"/>
                <w:highlight w:val="none"/>
              </w:rPr>
              <w:t>新疆通力房地产开发有限公司</w:t>
            </w:r>
          </w:p>
        </w:tc>
        <w:tc>
          <w:tcPr>
            <w:tcW w:w="945" w:type="dxa"/>
            <w:shd w:val="clear" w:color="000000" w:fill="FFFFFF"/>
            <w:noWrap/>
            <w:vAlign w:val="center"/>
          </w:tcPr>
          <w:p w14:paraId="128A831B">
            <w:pPr>
              <w:jc w:val="center"/>
              <w:rPr>
                <w:rFonts w:hint="default" w:ascii="仿宋" w:hAnsi="仿宋" w:eastAsia="仿宋" w:cs="宋体"/>
                <w:color w:val="000000"/>
                <w:kern w:val="0"/>
                <w:sz w:val="18"/>
                <w:szCs w:val="18"/>
                <w:highlight w:val="none"/>
                <w:lang w:val="en-US" w:eastAsia="zh-CN" w:bidi="ar-SA"/>
              </w:rPr>
            </w:pPr>
            <w:r>
              <w:rPr>
                <w:rFonts w:hint="eastAsia" w:ascii="仿宋" w:hAnsi="仿宋" w:eastAsia="仿宋"/>
                <w:color w:val="000000"/>
                <w:sz w:val="18"/>
                <w:szCs w:val="18"/>
                <w:highlight w:val="none"/>
                <w:lang w:val="en-US" w:eastAsia="zh-CN"/>
              </w:rPr>
              <w:t>2002.06.25</w:t>
            </w:r>
          </w:p>
        </w:tc>
        <w:tc>
          <w:tcPr>
            <w:tcW w:w="1209" w:type="dxa"/>
            <w:shd w:val="clear" w:color="000000" w:fill="FFFFFF"/>
            <w:noWrap/>
            <w:vAlign w:val="center"/>
          </w:tcPr>
          <w:p w14:paraId="480D4FF4">
            <w:pPr>
              <w:jc w:val="center"/>
              <w:rPr>
                <w:rFonts w:hint="default" w:ascii="仿宋" w:hAnsi="仿宋" w:eastAsia="仿宋" w:cs="宋体"/>
                <w:color w:val="000000"/>
                <w:kern w:val="0"/>
                <w:sz w:val="18"/>
                <w:szCs w:val="18"/>
                <w:highlight w:val="none"/>
                <w:lang w:val="en-US" w:eastAsia="zh-CN" w:bidi="ar-SA"/>
              </w:rPr>
            </w:pPr>
            <w:r>
              <w:rPr>
                <w:rFonts w:hint="eastAsia" w:ascii="仿宋" w:hAnsi="仿宋" w:eastAsia="仿宋"/>
                <w:color w:val="000000"/>
                <w:sz w:val="18"/>
                <w:szCs w:val="18"/>
                <w:highlight w:val="none"/>
                <w:lang w:val="en-US" w:eastAsia="zh-CN"/>
              </w:rPr>
              <w:t>10%</w:t>
            </w:r>
          </w:p>
        </w:tc>
        <w:tc>
          <w:tcPr>
            <w:tcW w:w="1022" w:type="dxa"/>
            <w:shd w:val="clear" w:color="000000" w:fill="FFFFFF"/>
            <w:vAlign w:val="center"/>
          </w:tcPr>
          <w:p w14:paraId="2798C7D1">
            <w:pPr>
              <w:jc w:val="center"/>
              <w:rPr>
                <w:rFonts w:hint="default" w:ascii="仿宋" w:hAnsi="仿宋" w:eastAsia="仿宋" w:cs="宋体"/>
                <w:color w:val="000000"/>
                <w:kern w:val="0"/>
                <w:sz w:val="18"/>
                <w:szCs w:val="18"/>
                <w:highlight w:val="none"/>
                <w:lang w:val="en-US" w:eastAsia="zh-CN" w:bidi="ar-SA"/>
              </w:rPr>
            </w:pPr>
            <w:r>
              <w:rPr>
                <w:rFonts w:hint="eastAsia" w:ascii="仿宋" w:hAnsi="仿宋" w:eastAsia="仿宋"/>
                <w:color w:val="000000"/>
                <w:sz w:val="18"/>
                <w:szCs w:val="18"/>
                <w:highlight w:val="none"/>
                <w:lang w:val="en-US" w:eastAsia="zh-CN"/>
              </w:rPr>
              <w:t>79.88%</w:t>
            </w:r>
          </w:p>
        </w:tc>
        <w:tc>
          <w:tcPr>
            <w:tcW w:w="4350" w:type="dxa"/>
            <w:shd w:val="clear" w:color="000000" w:fill="FFFFFF"/>
            <w:vAlign w:val="center"/>
          </w:tcPr>
          <w:p w14:paraId="40EEF561">
            <w:pPr>
              <w:jc w:val="both"/>
              <w:rPr>
                <w:rFonts w:ascii="仿宋" w:hAnsi="仿宋" w:eastAsia="仿宋" w:cs="宋体"/>
                <w:color w:val="000000"/>
                <w:kern w:val="0"/>
                <w:sz w:val="18"/>
                <w:szCs w:val="18"/>
                <w:highlight w:val="none"/>
                <w:lang w:val="en-US" w:eastAsia="zh-CN" w:bidi="ar-SA"/>
              </w:rPr>
            </w:pPr>
            <w:r>
              <w:rPr>
                <w:rFonts w:hint="eastAsia" w:ascii="仿宋" w:hAnsi="仿宋" w:eastAsia="仿宋"/>
                <w:color w:val="auto"/>
                <w:sz w:val="18"/>
                <w:szCs w:val="18"/>
                <w:highlight w:val="none"/>
              </w:rPr>
              <w:t>新疆宝发农资集团有限公司</w:t>
            </w:r>
            <w:r>
              <w:rPr>
                <w:rFonts w:hint="eastAsia" w:ascii="仿宋" w:hAnsi="仿宋" w:eastAsia="仿宋"/>
                <w:color w:val="auto"/>
                <w:sz w:val="18"/>
                <w:szCs w:val="18"/>
                <w:highlight w:val="none"/>
                <w:lang w:val="en-US" w:eastAsia="zh-CN"/>
              </w:rPr>
              <w:t>持股</w:t>
            </w:r>
            <w:r>
              <w:rPr>
                <w:rFonts w:hint="eastAsia" w:ascii="仿宋" w:hAnsi="仿宋" w:eastAsia="仿宋"/>
                <w:color w:val="000000"/>
                <w:sz w:val="18"/>
                <w:szCs w:val="18"/>
                <w:highlight w:val="none"/>
              </w:rPr>
              <w:t>：79.88%、张璐燕10%、许翠玲5.06%、许敏5.06%；</w:t>
            </w:r>
          </w:p>
        </w:tc>
        <w:tc>
          <w:tcPr>
            <w:tcW w:w="1560" w:type="dxa"/>
            <w:shd w:val="clear" w:color="000000" w:fill="FFFFFF"/>
            <w:noWrap/>
            <w:vAlign w:val="center"/>
          </w:tcPr>
          <w:p w14:paraId="34721131">
            <w:pPr>
              <w:jc w:val="center"/>
              <w:rPr>
                <w:rFonts w:ascii="仿宋" w:hAnsi="仿宋" w:eastAsia="仿宋" w:cs="宋体"/>
                <w:color w:val="000000"/>
                <w:kern w:val="0"/>
                <w:sz w:val="18"/>
                <w:szCs w:val="18"/>
                <w:highlight w:val="none"/>
                <w:lang w:val="en-US" w:eastAsia="zh-CN" w:bidi="ar-SA"/>
              </w:rPr>
            </w:pPr>
            <w:r>
              <w:rPr>
                <w:rFonts w:hint="eastAsia" w:ascii="仿宋" w:hAnsi="仿宋" w:eastAsia="仿宋"/>
                <w:color w:val="0070C0"/>
                <w:sz w:val="18"/>
                <w:szCs w:val="18"/>
                <w:lang w:val="en-US" w:eastAsia="zh-CN"/>
              </w:rPr>
              <w:t>189.76</w:t>
            </w:r>
          </w:p>
        </w:tc>
        <w:tc>
          <w:tcPr>
            <w:tcW w:w="1545" w:type="dxa"/>
            <w:shd w:val="clear" w:color="000000" w:fill="FFFFFF"/>
            <w:noWrap/>
            <w:vAlign w:val="center"/>
          </w:tcPr>
          <w:p w14:paraId="11181454">
            <w:pPr>
              <w:jc w:val="center"/>
              <w:rPr>
                <w:rFonts w:ascii="仿宋" w:hAnsi="仿宋" w:eastAsia="仿宋" w:cs="宋体"/>
                <w:color w:val="000000"/>
                <w:kern w:val="0"/>
                <w:sz w:val="18"/>
                <w:szCs w:val="18"/>
                <w:highlight w:val="none"/>
                <w:lang w:val="en-US" w:eastAsia="zh-CN" w:bidi="ar-SA"/>
              </w:rPr>
            </w:pPr>
            <w:r>
              <w:rPr>
                <w:rFonts w:hint="eastAsia" w:ascii="仿宋" w:hAnsi="仿宋" w:eastAsia="仿宋"/>
                <w:color w:val="0070C0"/>
                <w:sz w:val="18"/>
                <w:szCs w:val="18"/>
                <w:lang w:val="en-US" w:eastAsia="zh-CN"/>
              </w:rPr>
              <w:t>-51.15</w:t>
            </w:r>
          </w:p>
        </w:tc>
      </w:tr>
      <w:tr w14:paraId="5BA96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304" w:type="dxa"/>
            <w:shd w:val="clear" w:color="000000" w:fill="FFFFFF"/>
            <w:noWrap/>
            <w:vAlign w:val="center"/>
          </w:tcPr>
          <w:p w14:paraId="61BEF5B1">
            <w:pPr>
              <w:jc w:val="center"/>
              <w:rPr>
                <w:rFonts w:hint="eastAsia" w:ascii="仿宋" w:hAnsi="仿宋" w:eastAsia="仿宋" w:cs="宋体"/>
                <w:color w:val="000000"/>
                <w:kern w:val="0"/>
                <w:sz w:val="18"/>
                <w:szCs w:val="18"/>
                <w:highlight w:val="none"/>
                <w:lang w:val="en-US" w:eastAsia="zh-CN" w:bidi="ar-SA"/>
              </w:rPr>
            </w:pPr>
            <w:r>
              <w:rPr>
                <w:rFonts w:hint="eastAsia" w:ascii="仿宋" w:hAnsi="仿宋" w:eastAsia="仿宋"/>
                <w:color w:val="000000"/>
                <w:sz w:val="18"/>
                <w:szCs w:val="18"/>
                <w:highlight w:val="none"/>
              </w:rPr>
              <w:t xml:space="preserve">创晅（上海）能源科技有限责任公司 </w:t>
            </w:r>
          </w:p>
        </w:tc>
        <w:tc>
          <w:tcPr>
            <w:tcW w:w="945" w:type="dxa"/>
            <w:shd w:val="clear" w:color="000000" w:fill="FFFFFF"/>
            <w:noWrap/>
            <w:vAlign w:val="center"/>
          </w:tcPr>
          <w:p w14:paraId="79E1EC0C">
            <w:pPr>
              <w:jc w:val="center"/>
              <w:rPr>
                <w:rFonts w:hint="eastAsia" w:ascii="仿宋" w:hAnsi="仿宋" w:eastAsia="仿宋" w:cs="宋体"/>
                <w:color w:val="000000"/>
                <w:kern w:val="0"/>
                <w:sz w:val="18"/>
                <w:szCs w:val="18"/>
                <w:highlight w:val="none"/>
                <w:lang w:val="en-US" w:eastAsia="zh-CN" w:bidi="ar-SA"/>
              </w:rPr>
            </w:pPr>
            <w:r>
              <w:rPr>
                <w:rFonts w:hint="eastAsia" w:ascii="仿宋" w:hAnsi="仿宋" w:eastAsia="仿宋"/>
                <w:color w:val="000000"/>
                <w:sz w:val="18"/>
                <w:szCs w:val="18"/>
                <w:highlight w:val="none"/>
                <w:lang w:val="en-US" w:eastAsia="zh-CN"/>
              </w:rPr>
              <w:t>2021.01.04</w:t>
            </w:r>
          </w:p>
        </w:tc>
        <w:tc>
          <w:tcPr>
            <w:tcW w:w="1209" w:type="dxa"/>
            <w:shd w:val="clear" w:color="000000" w:fill="FFFFFF"/>
            <w:noWrap/>
            <w:vAlign w:val="center"/>
          </w:tcPr>
          <w:p w14:paraId="07DE6134">
            <w:pPr>
              <w:jc w:val="center"/>
              <w:rPr>
                <w:rFonts w:hint="eastAsia" w:ascii="仿宋" w:hAnsi="仿宋" w:eastAsia="仿宋" w:cs="宋体"/>
                <w:color w:val="000000"/>
                <w:kern w:val="0"/>
                <w:sz w:val="18"/>
                <w:szCs w:val="18"/>
                <w:highlight w:val="none"/>
                <w:lang w:val="en-US" w:eastAsia="zh-CN" w:bidi="ar-SA"/>
              </w:rPr>
            </w:pPr>
            <w:r>
              <w:rPr>
                <w:rFonts w:hint="eastAsia" w:ascii="仿宋" w:hAnsi="仿宋" w:eastAsia="仿宋"/>
                <w:color w:val="000000"/>
                <w:sz w:val="18"/>
                <w:szCs w:val="18"/>
                <w:highlight w:val="none"/>
                <w:lang w:val="en-US" w:eastAsia="zh-CN"/>
              </w:rPr>
              <w:t>41%</w:t>
            </w:r>
          </w:p>
        </w:tc>
        <w:tc>
          <w:tcPr>
            <w:tcW w:w="1022" w:type="dxa"/>
            <w:shd w:val="clear" w:color="000000" w:fill="FFFFFF"/>
            <w:vAlign w:val="center"/>
          </w:tcPr>
          <w:p w14:paraId="629DD99E">
            <w:pPr>
              <w:jc w:val="center"/>
              <w:rPr>
                <w:rFonts w:hint="eastAsia" w:ascii="仿宋" w:hAnsi="仿宋" w:eastAsia="仿宋" w:cs="宋体"/>
                <w:color w:val="000000"/>
                <w:kern w:val="0"/>
                <w:sz w:val="18"/>
                <w:szCs w:val="18"/>
                <w:highlight w:val="none"/>
                <w:lang w:val="en-US" w:eastAsia="zh-CN" w:bidi="ar-SA"/>
              </w:rPr>
            </w:pPr>
            <w:r>
              <w:rPr>
                <w:rFonts w:hint="eastAsia" w:ascii="仿宋" w:hAnsi="仿宋" w:eastAsia="仿宋"/>
                <w:color w:val="000000"/>
                <w:sz w:val="18"/>
                <w:szCs w:val="18"/>
                <w:highlight w:val="none"/>
                <w:lang w:val="en-US" w:eastAsia="zh-CN"/>
              </w:rPr>
              <w:t>45%</w:t>
            </w:r>
          </w:p>
        </w:tc>
        <w:tc>
          <w:tcPr>
            <w:tcW w:w="4350" w:type="dxa"/>
            <w:shd w:val="clear" w:color="000000" w:fill="FFFFFF"/>
            <w:vAlign w:val="center"/>
          </w:tcPr>
          <w:p w14:paraId="5546B358">
            <w:pPr>
              <w:jc w:val="both"/>
              <w:rPr>
                <w:rFonts w:hint="eastAsia" w:ascii="仿宋" w:hAnsi="仿宋" w:eastAsia="仿宋" w:cs="宋体"/>
                <w:color w:val="000000"/>
                <w:kern w:val="0"/>
                <w:sz w:val="18"/>
                <w:szCs w:val="18"/>
                <w:highlight w:val="none"/>
                <w:lang w:val="en-US" w:eastAsia="zh-CN" w:bidi="ar-SA"/>
              </w:rPr>
            </w:pPr>
            <w:r>
              <w:rPr>
                <w:rFonts w:hint="eastAsia" w:ascii="仿宋" w:hAnsi="仿宋" w:eastAsia="仿宋"/>
                <w:color w:val="auto"/>
                <w:sz w:val="18"/>
                <w:szCs w:val="18"/>
                <w:highlight w:val="none"/>
              </w:rPr>
              <w:t>新疆宝发农资集团有限公司</w:t>
            </w:r>
            <w:r>
              <w:rPr>
                <w:rFonts w:hint="eastAsia" w:ascii="仿宋" w:hAnsi="仿宋" w:eastAsia="仿宋"/>
                <w:color w:val="000000"/>
                <w:sz w:val="18"/>
                <w:szCs w:val="18"/>
                <w:highlight w:val="none"/>
              </w:rPr>
              <w:t>45%、张璐燕41%、汪传香7%、张江河7%</w:t>
            </w:r>
          </w:p>
        </w:tc>
        <w:tc>
          <w:tcPr>
            <w:tcW w:w="1560" w:type="dxa"/>
            <w:shd w:val="clear" w:color="000000" w:fill="FFFFFF"/>
            <w:noWrap/>
            <w:vAlign w:val="center"/>
          </w:tcPr>
          <w:p w14:paraId="2BEF1938">
            <w:pPr>
              <w:jc w:val="center"/>
              <w:rPr>
                <w:rFonts w:hint="eastAsia" w:ascii="仿宋" w:hAnsi="仿宋" w:eastAsia="仿宋" w:cs="宋体"/>
                <w:color w:val="000000"/>
                <w:kern w:val="0"/>
                <w:sz w:val="18"/>
                <w:szCs w:val="18"/>
                <w:highlight w:val="none"/>
                <w:lang w:val="en-US" w:eastAsia="zh-CN" w:bidi="ar-SA"/>
              </w:rPr>
            </w:pPr>
            <w:r>
              <w:rPr>
                <w:rFonts w:hint="eastAsia" w:ascii="仿宋" w:hAnsi="仿宋" w:eastAsia="仿宋" w:cs="宋体"/>
                <w:color w:val="000000"/>
                <w:kern w:val="0"/>
                <w:sz w:val="18"/>
                <w:szCs w:val="18"/>
                <w:highlight w:val="none"/>
                <w:lang w:val="en-US" w:eastAsia="zh-CN" w:bidi="ar-SA"/>
              </w:rPr>
              <w:t>462.65</w:t>
            </w:r>
          </w:p>
        </w:tc>
        <w:tc>
          <w:tcPr>
            <w:tcW w:w="1545" w:type="dxa"/>
            <w:shd w:val="clear" w:color="000000" w:fill="FFFFFF"/>
            <w:noWrap/>
            <w:vAlign w:val="center"/>
          </w:tcPr>
          <w:p w14:paraId="6230FB5E">
            <w:pPr>
              <w:jc w:val="center"/>
              <w:rPr>
                <w:rFonts w:hint="eastAsia" w:ascii="仿宋" w:hAnsi="仿宋" w:eastAsia="仿宋" w:cs="宋体"/>
                <w:color w:val="000000"/>
                <w:kern w:val="0"/>
                <w:sz w:val="18"/>
                <w:szCs w:val="18"/>
                <w:highlight w:val="none"/>
                <w:lang w:val="en-US" w:eastAsia="zh-CN" w:bidi="ar-SA"/>
              </w:rPr>
            </w:pPr>
            <w:r>
              <w:rPr>
                <w:rFonts w:hint="eastAsia" w:ascii="仿宋" w:hAnsi="仿宋" w:eastAsia="仿宋" w:cs="宋体"/>
                <w:color w:val="000000"/>
                <w:kern w:val="0"/>
                <w:sz w:val="18"/>
                <w:szCs w:val="18"/>
                <w:highlight w:val="none"/>
                <w:lang w:val="en-US" w:eastAsia="zh-CN" w:bidi="ar-SA"/>
              </w:rPr>
              <w:t>89.75</w:t>
            </w:r>
          </w:p>
        </w:tc>
      </w:tr>
      <w:tr w14:paraId="51813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304" w:type="dxa"/>
            <w:shd w:val="clear" w:color="000000" w:fill="FFFFFF"/>
            <w:noWrap/>
            <w:vAlign w:val="center"/>
          </w:tcPr>
          <w:p w14:paraId="57E889E6">
            <w:pPr>
              <w:jc w:val="center"/>
              <w:rPr>
                <w:rFonts w:hint="eastAsia" w:ascii="仿宋" w:hAnsi="仿宋" w:eastAsia="仿宋"/>
                <w:color w:val="000000"/>
                <w:sz w:val="18"/>
                <w:szCs w:val="18"/>
                <w:highlight w:val="none"/>
              </w:rPr>
            </w:pPr>
            <w:r>
              <w:rPr>
                <w:rFonts w:hint="eastAsia" w:ascii="仿宋" w:hAnsi="仿宋" w:eastAsia="仿宋"/>
                <w:bCs/>
                <w:kern w:val="2"/>
                <w:sz w:val="21"/>
                <w:szCs w:val="21"/>
                <w:u w:val="none"/>
                <w:lang w:val="en-US" w:eastAsia="zh-CN"/>
              </w:rPr>
              <w:t>霍尔果斯创暄能源科技有限责任公司</w:t>
            </w:r>
          </w:p>
        </w:tc>
        <w:tc>
          <w:tcPr>
            <w:tcW w:w="945" w:type="dxa"/>
            <w:shd w:val="clear" w:color="000000" w:fill="FFFFFF"/>
            <w:noWrap/>
            <w:vAlign w:val="center"/>
          </w:tcPr>
          <w:p w14:paraId="1EF6CFF0">
            <w:pPr>
              <w:jc w:val="center"/>
              <w:rPr>
                <w:rFonts w:hint="eastAsia" w:ascii="仿宋" w:hAnsi="仿宋" w:eastAsia="仿宋"/>
                <w:color w:val="000000"/>
                <w:sz w:val="18"/>
                <w:szCs w:val="18"/>
                <w:highlight w:val="none"/>
                <w:lang w:val="en-US" w:eastAsia="zh-CN"/>
              </w:rPr>
            </w:pPr>
            <w:r>
              <w:rPr>
                <w:rFonts w:hint="eastAsia" w:ascii="仿宋" w:hAnsi="仿宋" w:eastAsia="仿宋"/>
                <w:color w:val="000000"/>
                <w:sz w:val="18"/>
                <w:szCs w:val="18"/>
                <w:highlight w:val="none"/>
                <w:lang w:val="en-US" w:eastAsia="zh-CN"/>
              </w:rPr>
              <w:t>2024.07.16</w:t>
            </w:r>
          </w:p>
        </w:tc>
        <w:tc>
          <w:tcPr>
            <w:tcW w:w="1209" w:type="dxa"/>
            <w:shd w:val="clear" w:color="000000" w:fill="FFFFFF"/>
            <w:noWrap/>
            <w:vAlign w:val="center"/>
          </w:tcPr>
          <w:p w14:paraId="6F730E8A">
            <w:pPr>
              <w:jc w:val="center"/>
              <w:rPr>
                <w:rFonts w:hint="default" w:ascii="仿宋" w:hAnsi="仿宋" w:eastAsia="仿宋"/>
                <w:color w:val="000000"/>
                <w:sz w:val="18"/>
                <w:szCs w:val="18"/>
                <w:highlight w:val="none"/>
                <w:lang w:val="en-US" w:eastAsia="zh-CN"/>
              </w:rPr>
            </w:pPr>
            <w:r>
              <w:rPr>
                <w:rFonts w:hint="eastAsia" w:ascii="仿宋" w:hAnsi="仿宋" w:eastAsia="仿宋"/>
                <w:color w:val="000000"/>
                <w:sz w:val="18"/>
                <w:szCs w:val="18"/>
                <w:highlight w:val="none"/>
                <w:lang w:val="en-US" w:eastAsia="zh-CN"/>
              </w:rPr>
              <w:t>18%</w:t>
            </w:r>
          </w:p>
        </w:tc>
        <w:tc>
          <w:tcPr>
            <w:tcW w:w="1022" w:type="dxa"/>
            <w:shd w:val="clear" w:color="000000" w:fill="FFFFFF"/>
            <w:vAlign w:val="center"/>
          </w:tcPr>
          <w:p w14:paraId="23AF71DF">
            <w:pPr>
              <w:jc w:val="center"/>
              <w:rPr>
                <w:rFonts w:hint="default" w:ascii="仿宋" w:hAnsi="仿宋" w:eastAsia="仿宋"/>
                <w:color w:val="000000"/>
                <w:sz w:val="18"/>
                <w:szCs w:val="18"/>
                <w:highlight w:val="none"/>
                <w:lang w:val="en-US" w:eastAsia="zh-CN"/>
              </w:rPr>
            </w:pPr>
            <w:r>
              <w:rPr>
                <w:rFonts w:hint="eastAsia" w:ascii="仿宋" w:hAnsi="仿宋" w:eastAsia="仿宋"/>
                <w:color w:val="000000"/>
                <w:sz w:val="18"/>
                <w:szCs w:val="18"/>
                <w:highlight w:val="none"/>
                <w:lang w:val="en-US" w:eastAsia="zh-CN"/>
              </w:rPr>
              <w:t>20%</w:t>
            </w:r>
          </w:p>
        </w:tc>
        <w:tc>
          <w:tcPr>
            <w:tcW w:w="4350" w:type="dxa"/>
            <w:shd w:val="clear" w:color="000000" w:fill="FFFFFF"/>
            <w:vAlign w:val="center"/>
          </w:tcPr>
          <w:p w14:paraId="69739701">
            <w:pPr>
              <w:jc w:val="both"/>
              <w:rPr>
                <w:rFonts w:hint="default" w:ascii="仿宋" w:hAnsi="仿宋" w:eastAsia="仿宋"/>
                <w:color w:val="000000"/>
                <w:sz w:val="18"/>
                <w:szCs w:val="18"/>
                <w:highlight w:val="none"/>
                <w:lang w:val="en-US" w:eastAsia="zh-CN"/>
              </w:rPr>
            </w:pPr>
            <w:r>
              <w:rPr>
                <w:rFonts w:hint="eastAsia" w:ascii="仿宋" w:hAnsi="仿宋" w:eastAsia="仿宋"/>
                <w:color w:val="000000"/>
                <w:sz w:val="18"/>
                <w:szCs w:val="18"/>
                <w:highlight w:val="none"/>
                <w:lang w:val="en-US" w:eastAsia="zh-CN"/>
              </w:rPr>
              <w:t>创晅（上海）能源科技有限责任公司：45%、新疆创想慧投经营管理有限公司：30%、新疆创智源电力有限责任公司25%</w:t>
            </w:r>
          </w:p>
        </w:tc>
        <w:tc>
          <w:tcPr>
            <w:tcW w:w="1560" w:type="dxa"/>
            <w:shd w:val="clear" w:color="000000" w:fill="FFFFFF"/>
            <w:noWrap/>
            <w:vAlign w:val="center"/>
          </w:tcPr>
          <w:p w14:paraId="78818DFA">
            <w:pPr>
              <w:jc w:val="center"/>
              <w:rPr>
                <w:rFonts w:hint="default" w:ascii="仿宋" w:hAnsi="仿宋" w:eastAsia="仿宋" w:cs="宋体"/>
                <w:color w:val="000000"/>
                <w:kern w:val="0"/>
                <w:sz w:val="18"/>
                <w:szCs w:val="18"/>
                <w:highlight w:val="none"/>
                <w:lang w:val="en-US" w:eastAsia="zh-CN" w:bidi="ar-SA"/>
              </w:rPr>
            </w:pPr>
            <w:r>
              <w:rPr>
                <w:rFonts w:hint="eastAsia" w:ascii="仿宋" w:hAnsi="仿宋" w:eastAsia="仿宋" w:cs="宋体"/>
                <w:color w:val="000000"/>
                <w:kern w:val="0"/>
                <w:sz w:val="18"/>
                <w:szCs w:val="18"/>
                <w:highlight w:val="none"/>
                <w:lang w:val="en-US" w:eastAsia="zh-CN" w:bidi="ar-SA"/>
              </w:rPr>
              <w:t>/</w:t>
            </w:r>
          </w:p>
        </w:tc>
        <w:tc>
          <w:tcPr>
            <w:tcW w:w="1545" w:type="dxa"/>
            <w:shd w:val="clear" w:color="000000" w:fill="FFFFFF"/>
            <w:noWrap/>
            <w:vAlign w:val="center"/>
          </w:tcPr>
          <w:p w14:paraId="1DD83EF9">
            <w:pPr>
              <w:jc w:val="center"/>
              <w:rPr>
                <w:rFonts w:hint="default" w:ascii="仿宋" w:hAnsi="仿宋" w:eastAsia="仿宋" w:cs="宋体"/>
                <w:color w:val="000000"/>
                <w:kern w:val="0"/>
                <w:sz w:val="18"/>
                <w:szCs w:val="18"/>
                <w:highlight w:val="none"/>
                <w:lang w:val="en-US" w:eastAsia="zh-CN" w:bidi="ar-SA"/>
              </w:rPr>
            </w:pPr>
            <w:r>
              <w:rPr>
                <w:rFonts w:hint="eastAsia" w:ascii="仿宋" w:hAnsi="仿宋" w:eastAsia="仿宋" w:cs="宋体"/>
                <w:color w:val="000000"/>
                <w:kern w:val="0"/>
                <w:sz w:val="18"/>
                <w:szCs w:val="18"/>
                <w:highlight w:val="none"/>
                <w:lang w:val="en-US" w:eastAsia="zh-CN" w:bidi="ar-SA"/>
              </w:rPr>
              <w:t>/</w:t>
            </w:r>
          </w:p>
        </w:tc>
      </w:tr>
    </w:tbl>
    <w:p w14:paraId="56E4DA6F">
      <w:pPr>
        <w:widowControl w:val="0"/>
        <w:spacing w:line="360" w:lineRule="auto"/>
        <w:jc w:val="both"/>
        <w:rPr>
          <w:rFonts w:hint="eastAsia" w:ascii="仿宋" w:hAnsi="仿宋" w:eastAsia="仿宋"/>
          <w:b/>
          <w:kern w:val="2"/>
        </w:rPr>
        <w:sectPr>
          <w:pgSz w:w="16838" w:h="11906" w:orient="landscape"/>
          <w:pgMar w:top="1800" w:right="1440" w:bottom="1800" w:left="1440" w:header="851" w:footer="992" w:gutter="0"/>
          <w:cols w:space="720" w:num="1"/>
          <w:docGrid w:type="lines" w:linePitch="326" w:charSpace="0"/>
        </w:sectPr>
      </w:pPr>
      <w:bookmarkStart w:id="3" w:name="_GoBack"/>
      <w:bookmarkEnd w:id="3"/>
    </w:p>
    <w:p w14:paraId="3B0F8E10">
      <w:pPr>
        <w:widowControl w:val="0"/>
        <w:spacing w:line="360" w:lineRule="auto"/>
        <w:jc w:val="both"/>
        <w:rPr>
          <w:rFonts w:ascii="仿宋" w:hAnsi="仿宋" w:eastAsia="仿宋"/>
          <w:b/>
          <w:kern w:val="2"/>
          <w:highlight w:val="none"/>
        </w:rPr>
      </w:pPr>
      <w:r>
        <w:rPr>
          <w:rFonts w:ascii="仿宋" w:hAnsi="仿宋" w:eastAsia="仿宋"/>
          <w:b/>
          <w:kern w:val="2"/>
          <w:highlight w:val="none"/>
        </w:rPr>
        <w:t>7.2</w:t>
      </w:r>
      <w:bookmarkStart w:id="0" w:name="_Toc263841047"/>
      <w:bookmarkStart w:id="1" w:name="_Toc362422849"/>
      <w:bookmarkStart w:id="2" w:name="_Toc362421679"/>
      <w:r>
        <w:rPr>
          <w:rFonts w:hint="eastAsia" w:ascii="仿宋" w:hAnsi="仿宋" w:eastAsia="仿宋"/>
          <w:b/>
          <w:kern w:val="2"/>
          <w:highlight w:val="none"/>
        </w:rPr>
        <w:t>实控人产业介绍</w:t>
      </w:r>
    </w:p>
    <w:bookmarkEnd w:id="0"/>
    <w:bookmarkEnd w:id="1"/>
    <w:bookmarkEnd w:id="2"/>
    <w:p w14:paraId="0D6FB76F">
      <w:pPr>
        <w:widowControl w:val="0"/>
        <w:spacing w:line="360" w:lineRule="auto"/>
        <w:ind w:firstLine="420"/>
        <w:jc w:val="both"/>
        <w:rPr>
          <w:rFonts w:hint="default" w:ascii="仿宋" w:hAnsi="仿宋" w:eastAsia="仿宋"/>
          <w:bCs/>
          <w:kern w:val="2"/>
          <w:sz w:val="21"/>
          <w:szCs w:val="21"/>
          <w:highlight w:val="none"/>
          <w:lang w:val="en-US" w:eastAsia="zh-CN"/>
        </w:rPr>
      </w:pPr>
      <w:r>
        <w:rPr>
          <w:rFonts w:hint="eastAsia" w:ascii="仿宋" w:hAnsi="仿宋" w:eastAsia="仿宋"/>
          <w:bCs/>
          <w:kern w:val="2"/>
          <w:sz w:val="21"/>
          <w:szCs w:val="21"/>
          <w:highlight w:val="none"/>
          <w:lang w:val="en-US" w:eastAsia="zh-CN"/>
        </w:rPr>
        <w:t>实控人许宗奎、张璐燕主营产业包括房地产开发、建筑施工、水力发电等板块，主要业务区域位于新疆维吾尔自治区境内，集团拥有房屋建筑工程施工总承包壹级、市政公用工程施工总承包壹级、钢结构工程施工专业承包壹级;公路工程施工总承包贰级、公路路面工程专业承包贰级、公路路基工程专业承包贰级、水利水电工程施工总承包贰级、房地产开发贰级、发电许可等多项资质。是新疆区域最具竞争力、最具专业性的大型工程施工总承包企业之一。历年来投资开发的多项房地产项目均取得较好的品牌效果，为企业持续发展提供了有力保障。集团通过对水利发电板块的资源整合，现有水利发电站11座，是新疆最具规模的发电类民营企业之一。</w:t>
      </w:r>
    </w:p>
    <w:p w14:paraId="78860D85">
      <w:pPr>
        <w:widowControl w:val="0"/>
        <w:spacing w:line="360" w:lineRule="auto"/>
        <w:ind w:firstLine="420"/>
        <w:jc w:val="both"/>
        <w:rPr>
          <w:rFonts w:hint="eastAsia" w:ascii="仿宋" w:hAnsi="仿宋" w:eastAsia="仿宋"/>
          <w:bCs/>
          <w:kern w:val="2"/>
          <w:sz w:val="22"/>
          <w:szCs w:val="22"/>
          <w:u w:val="none"/>
        </w:rPr>
      </w:pPr>
      <w:r>
        <w:rPr>
          <w:rFonts w:hint="eastAsia" w:ascii="仿宋" w:hAnsi="仿宋" w:eastAsia="仿宋"/>
          <w:b/>
          <w:kern w:val="2"/>
          <w:sz w:val="22"/>
          <w:szCs w:val="22"/>
          <w:u w:val="none"/>
          <w:lang w:val="en-US" w:eastAsia="zh-CN"/>
        </w:rPr>
        <w:t>能源</w:t>
      </w:r>
      <w:r>
        <w:rPr>
          <w:rFonts w:hint="eastAsia" w:ascii="仿宋" w:hAnsi="仿宋" w:eastAsia="仿宋"/>
          <w:b/>
          <w:kern w:val="2"/>
          <w:sz w:val="22"/>
          <w:szCs w:val="22"/>
          <w:u w:val="none"/>
        </w:rPr>
        <w:t>板块</w:t>
      </w:r>
      <w:r>
        <w:rPr>
          <w:rFonts w:hint="eastAsia" w:ascii="仿宋" w:hAnsi="仿宋" w:eastAsia="仿宋"/>
          <w:bCs/>
          <w:kern w:val="2"/>
          <w:sz w:val="22"/>
          <w:szCs w:val="22"/>
          <w:u w:val="none"/>
        </w:rPr>
        <w:t>：</w:t>
      </w:r>
    </w:p>
    <w:p w14:paraId="00ECAD91">
      <w:pPr>
        <w:widowControl w:val="0"/>
        <w:spacing w:line="360" w:lineRule="auto"/>
        <w:ind w:firstLine="420"/>
        <w:jc w:val="both"/>
        <w:rPr>
          <w:rFonts w:hint="eastAsia" w:ascii="仿宋" w:hAnsi="仿宋" w:eastAsia="仿宋"/>
          <w:bCs/>
          <w:kern w:val="2"/>
          <w:sz w:val="21"/>
          <w:szCs w:val="21"/>
          <w:u w:val="none"/>
          <w:lang w:val="en-US" w:eastAsia="zh-CN"/>
        </w:rPr>
      </w:pPr>
      <w:r>
        <w:rPr>
          <w:rFonts w:hint="eastAsia" w:ascii="仿宋" w:hAnsi="仿宋" w:eastAsia="仿宋"/>
          <w:bCs/>
          <w:kern w:val="2"/>
          <w:sz w:val="21"/>
          <w:szCs w:val="21"/>
          <w:u w:val="none"/>
          <w:lang w:val="en-US" w:eastAsia="zh-CN"/>
        </w:rPr>
        <w:t>霍尔果斯创暄能源科技有限责任公司目前对外投资企业包括伊犁尼勒克县孟克特水电投资有限公司和昭苏夏塔水电开发有限公司以上公司分别拥有孟克特水电站（装机20MW）和昭苏夏塔水电站（装机22MW）。</w:t>
      </w:r>
    </w:p>
    <w:p w14:paraId="694E55A7">
      <w:pPr>
        <w:widowControl w:val="0"/>
        <w:spacing w:line="360" w:lineRule="auto"/>
        <w:ind w:firstLine="420"/>
        <w:jc w:val="both"/>
        <w:rPr>
          <w:rFonts w:hint="eastAsia" w:ascii="仿宋" w:hAnsi="仿宋" w:eastAsia="仿宋"/>
          <w:bCs/>
          <w:kern w:val="2"/>
          <w:sz w:val="21"/>
          <w:szCs w:val="21"/>
          <w:u w:val="none"/>
          <w:lang w:val="en-US" w:eastAsia="zh-CN"/>
        </w:rPr>
      </w:pPr>
      <w:r>
        <w:rPr>
          <w:rFonts w:hint="eastAsia" w:ascii="仿宋" w:hAnsi="仿宋" w:eastAsia="仿宋"/>
          <w:bCs/>
          <w:kern w:val="2"/>
          <w:sz w:val="21"/>
          <w:szCs w:val="21"/>
          <w:u w:val="none"/>
          <w:lang w:val="en-US" w:eastAsia="zh-CN"/>
        </w:rPr>
        <w:t>2024年我公司拟将创晅（上海）能源科技有限责任公司对控股下的新疆鸿昌能源投资有限公司和巴州温和水电开发有限公司，分别拥有的莫呼察汗干渠一、二级水电站（装机20MW）、托什干河北岸干渠一、二级水电站（装机3.4MW）和车尔臣河多浪一、二级水电站（装机13.6MW），以及新疆宝发农资集团有限公司控股下的新疆通力建设集团股份有限公司拥有的新疆通力塔格拉克水电有限公司和且末县通力水电有限责任公司，分别拥有的温宿县塔格拉克一、二级水电站（装机17MW）和且末县通力三级水电站（装机2.4MW），资产均整合至霍尔果斯创暄能源科技有限责任公司。</w:t>
      </w:r>
    </w:p>
    <w:p w14:paraId="32522FE9">
      <w:pPr>
        <w:widowControl w:val="0"/>
        <w:spacing w:line="360" w:lineRule="auto"/>
        <w:ind w:firstLine="420"/>
        <w:jc w:val="both"/>
        <w:rPr>
          <w:rFonts w:hint="eastAsia" w:ascii="仿宋" w:hAnsi="仿宋" w:eastAsia="仿宋"/>
          <w:bCs/>
          <w:kern w:val="2"/>
          <w:sz w:val="21"/>
          <w:szCs w:val="21"/>
          <w:u w:val="none"/>
          <w:lang w:val="en-US" w:eastAsia="zh-CN"/>
        </w:rPr>
      </w:pPr>
      <w:r>
        <w:rPr>
          <w:rFonts w:hint="eastAsia" w:ascii="仿宋" w:hAnsi="仿宋" w:eastAsia="仿宋"/>
          <w:bCs/>
          <w:kern w:val="2"/>
          <w:sz w:val="21"/>
          <w:szCs w:val="21"/>
          <w:u w:val="none"/>
          <w:lang w:val="en-US" w:eastAsia="zh-CN"/>
        </w:rPr>
        <w:t>11座电站总装机98.4MW，近五年年均发电量3亿Kwh，实现年均收入约7680万元，固定资产总价值7.25亿元。各电站简况如下：</w:t>
      </w:r>
    </w:p>
    <w:p w14:paraId="0D27B389">
      <w:pPr>
        <w:widowControl w:val="0"/>
        <w:spacing w:line="360" w:lineRule="auto"/>
        <w:ind w:firstLine="420"/>
        <w:jc w:val="both"/>
        <w:rPr>
          <w:rFonts w:hint="eastAsia" w:ascii="仿宋" w:hAnsi="仿宋" w:eastAsia="仿宋"/>
          <w:bCs/>
          <w:kern w:val="2"/>
          <w:sz w:val="21"/>
          <w:szCs w:val="21"/>
          <w:u w:val="none"/>
          <w:lang w:val="en-US" w:eastAsia="zh-CN"/>
        </w:rPr>
      </w:pPr>
      <w:r>
        <w:rPr>
          <w:rFonts w:hint="eastAsia" w:ascii="仿宋" w:hAnsi="仿宋" w:eastAsia="仿宋"/>
          <w:bCs/>
          <w:kern w:val="2"/>
          <w:sz w:val="21"/>
          <w:szCs w:val="21"/>
          <w:u w:val="none"/>
          <w:lang w:val="en-US" w:eastAsia="zh-CN"/>
        </w:rPr>
        <w:t>（一）新疆鸿昌能源投资有限公司</w:t>
      </w:r>
    </w:p>
    <w:p w14:paraId="08EB5F9A">
      <w:pPr>
        <w:widowControl w:val="0"/>
        <w:spacing w:line="360" w:lineRule="auto"/>
        <w:ind w:firstLine="420"/>
        <w:jc w:val="both"/>
        <w:rPr>
          <w:rFonts w:hint="eastAsia" w:ascii="仿宋" w:hAnsi="仿宋" w:eastAsia="仿宋"/>
          <w:bCs/>
          <w:kern w:val="2"/>
          <w:sz w:val="21"/>
          <w:szCs w:val="21"/>
          <w:u w:val="none"/>
          <w:lang w:val="en-US" w:eastAsia="zh-CN"/>
        </w:rPr>
      </w:pPr>
      <w:r>
        <w:rPr>
          <w:rFonts w:hint="eastAsia" w:ascii="仿宋" w:hAnsi="仿宋" w:eastAsia="仿宋"/>
          <w:bCs/>
          <w:kern w:val="2"/>
          <w:sz w:val="21"/>
          <w:szCs w:val="21"/>
          <w:u w:val="none"/>
          <w:lang w:val="en-US" w:eastAsia="zh-CN"/>
        </w:rPr>
        <w:t>新疆鸿昌能源投资有限公司成立于2009年06月19日，坐落于新疆阿克苏地区温宿县托乎拉乡大汗村。公司信用代码/税号为91652922689567102R，法人管丽萍，注册资本为5300万元人民币。企业的经营范围包括：许可项目：水力发电；输电、供电、受电电力设施的安装、维修和试验。（依法须经批准的项目，经相关部门批准后方可开展经营活动，具体经营项目以相关部门批准文件或许可证件为准）一般项目：发电技术服务；风力发电技术服务；太阳能发电技术服务；通用设备修理；电气设备修理；机械电气设备制造；业务培训（不含教育培训、职业技能培训等需取得许可的培训）。（除依法须经批准的项目外，凭营业执照依法自主开展经营活动）。固定资产价值1.8亿元。</w:t>
      </w:r>
    </w:p>
    <w:p w14:paraId="20A84DFF">
      <w:pPr>
        <w:widowControl w:val="0"/>
        <w:spacing w:line="360" w:lineRule="auto"/>
        <w:ind w:firstLine="420"/>
        <w:jc w:val="both"/>
        <w:rPr>
          <w:rFonts w:hint="eastAsia" w:ascii="仿宋" w:hAnsi="仿宋" w:eastAsia="仿宋"/>
          <w:bCs/>
          <w:kern w:val="2"/>
          <w:sz w:val="21"/>
          <w:szCs w:val="21"/>
          <w:u w:val="none"/>
          <w:lang w:val="en-US" w:eastAsia="zh-CN"/>
        </w:rPr>
      </w:pPr>
      <w:r>
        <w:rPr>
          <w:rFonts w:hint="eastAsia" w:ascii="仿宋" w:hAnsi="仿宋" w:eastAsia="仿宋"/>
          <w:bCs/>
          <w:kern w:val="2"/>
          <w:sz w:val="21"/>
          <w:szCs w:val="21"/>
          <w:u w:val="none"/>
          <w:lang w:val="en-US" w:eastAsia="zh-CN"/>
        </w:rPr>
        <w:t>所持电站为托什干河北岸干渠一、二级水电站（装机3.4MW）和车尔臣河多浪一、二级水电站（装机13.6MW）。2019至2023年年均发电量为7389万Kwh，分别为7671万Kwh，7389万Kwh，7850万Kwh，7590万Kwh，6445万Kwh。售电单价为0.235元/Kwh，近五年平均发电收入1736万元。</w:t>
      </w:r>
    </w:p>
    <w:p w14:paraId="73B7DCA2">
      <w:pPr>
        <w:widowControl w:val="0"/>
        <w:spacing w:line="360" w:lineRule="auto"/>
        <w:ind w:firstLine="420"/>
        <w:jc w:val="both"/>
        <w:rPr>
          <w:rFonts w:hint="eastAsia" w:ascii="仿宋" w:hAnsi="仿宋" w:eastAsia="仿宋"/>
          <w:bCs/>
          <w:kern w:val="2"/>
          <w:sz w:val="21"/>
          <w:szCs w:val="21"/>
          <w:u w:val="none"/>
          <w:lang w:val="en-US" w:eastAsia="zh-CN"/>
        </w:rPr>
      </w:pPr>
      <w:r>
        <w:rPr>
          <w:rFonts w:hint="eastAsia" w:ascii="仿宋" w:hAnsi="仿宋" w:eastAsia="仿宋"/>
          <w:bCs/>
          <w:kern w:val="2"/>
          <w:sz w:val="21"/>
          <w:szCs w:val="21"/>
          <w:u w:val="none"/>
          <w:lang w:val="en-US" w:eastAsia="zh-CN"/>
        </w:rPr>
        <w:t>（二）巴州温和水电开发有限公司</w:t>
      </w:r>
    </w:p>
    <w:p w14:paraId="76E7451A">
      <w:pPr>
        <w:widowControl w:val="0"/>
        <w:spacing w:line="360" w:lineRule="auto"/>
        <w:ind w:firstLine="420"/>
        <w:jc w:val="both"/>
        <w:rPr>
          <w:rFonts w:hint="eastAsia" w:ascii="仿宋" w:hAnsi="仿宋" w:eastAsia="仿宋"/>
          <w:bCs/>
          <w:kern w:val="2"/>
          <w:sz w:val="21"/>
          <w:szCs w:val="21"/>
          <w:u w:val="none"/>
          <w:lang w:val="en-US" w:eastAsia="zh-CN"/>
        </w:rPr>
      </w:pPr>
      <w:r>
        <w:rPr>
          <w:rFonts w:hint="eastAsia" w:ascii="仿宋" w:hAnsi="仿宋" w:eastAsia="仿宋"/>
          <w:bCs/>
          <w:kern w:val="2"/>
          <w:sz w:val="21"/>
          <w:szCs w:val="21"/>
          <w:u w:val="none"/>
          <w:lang w:val="en-US" w:eastAsia="zh-CN"/>
        </w:rPr>
        <w:t>巴州温和水电开发有限公司成立于2013年01月10日，公司坐落于新疆巴州和静县工业园区哈尔莫墩矿业区;公司信用代码/税号为916528270577429100，法人管丽萍，注册资本为4000万元人民币。企业主营水利发电投资开发，固定资产价值1.04亿元。</w:t>
      </w:r>
    </w:p>
    <w:p w14:paraId="1A45FE63">
      <w:pPr>
        <w:widowControl w:val="0"/>
        <w:spacing w:line="360" w:lineRule="auto"/>
        <w:ind w:firstLine="420"/>
        <w:jc w:val="both"/>
        <w:rPr>
          <w:rFonts w:hint="eastAsia" w:ascii="仿宋" w:hAnsi="仿宋" w:eastAsia="仿宋"/>
          <w:bCs/>
          <w:kern w:val="2"/>
          <w:sz w:val="21"/>
          <w:szCs w:val="21"/>
          <w:u w:val="none"/>
          <w:lang w:val="en-US" w:eastAsia="zh-CN"/>
        </w:rPr>
      </w:pPr>
      <w:r>
        <w:rPr>
          <w:rFonts w:hint="eastAsia" w:ascii="仿宋" w:hAnsi="仿宋" w:eastAsia="仿宋"/>
          <w:bCs/>
          <w:kern w:val="2"/>
          <w:sz w:val="21"/>
          <w:szCs w:val="21"/>
          <w:u w:val="none"/>
          <w:lang w:val="en-US" w:eastAsia="zh-CN"/>
        </w:rPr>
        <w:t>所持电站为莫呼察汗干渠一、二级水电站（装机20MW）2019至2023年年均发电量为6192.2万Kwh，分别为6897万Kwh，6937万Kwh，5527万Kwh，6024万Kwh，5576万Kwh。售电单价为0.235元/Kwh，近五年平均发电收入1455万元。</w:t>
      </w:r>
    </w:p>
    <w:p w14:paraId="7E101E6A">
      <w:pPr>
        <w:widowControl w:val="0"/>
        <w:spacing w:line="360" w:lineRule="auto"/>
        <w:ind w:firstLine="420"/>
        <w:jc w:val="both"/>
        <w:rPr>
          <w:rFonts w:hint="eastAsia" w:ascii="仿宋" w:hAnsi="仿宋" w:eastAsia="仿宋"/>
          <w:bCs/>
          <w:kern w:val="2"/>
          <w:sz w:val="21"/>
          <w:szCs w:val="21"/>
          <w:u w:val="none"/>
          <w:lang w:val="en-US" w:eastAsia="zh-CN"/>
        </w:rPr>
      </w:pPr>
      <w:r>
        <w:rPr>
          <w:rFonts w:hint="eastAsia" w:ascii="仿宋" w:hAnsi="仿宋" w:eastAsia="仿宋"/>
          <w:bCs/>
          <w:kern w:val="2"/>
          <w:sz w:val="21"/>
          <w:szCs w:val="21"/>
          <w:u w:val="none"/>
          <w:lang w:val="en-US" w:eastAsia="zh-CN"/>
        </w:rPr>
        <w:t>（三）新疆通力塔格拉克水电有限公司</w:t>
      </w:r>
    </w:p>
    <w:p w14:paraId="1E838391">
      <w:pPr>
        <w:widowControl w:val="0"/>
        <w:spacing w:line="360" w:lineRule="auto"/>
        <w:ind w:firstLine="420"/>
        <w:jc w:val="both"/>
        <w:rPr>
          <w:rFonts w:hint="eastAsia" w:ascii="仿宋" w:hAnsi="仿宋" w:eastAsia="仿宋"/>
          <w:bCs/>
          <w:kern w:val="2"/>
          <w:sz w:val="21"/>
          <w:szCs w:val="21"/>
          <w:u w:val="none"/>
          <w:lang w:val="en-US" w:eastAsia="zh-CN"/>
        </w:rPr>
      </w:pPr>
      <w:r>
        <w:rPr>
          <w:rFonts w:hint="eastAsia" w:ascii="仿宋" w:hAnsi="仿宋" w:eastAsia="仿宋"/>
          <w:bCs/>
          <w:kern w:val="2"/>
          <w:sz w:val="21"/>
          <w:szCs w:val="21"/>
          <w:u w:val="none"/>
          <w:lang w:val="en-US" w:eastAsia="zh-CN"/>
        </w:rPr>
        <w:t>新疆通力塔格拉克水电有限公司成立于2010年05月12日，公司坐落在新疆阿克苏地区温宿县产业园区金龙路1号楼414室;公司信用代码/税号为91652922552442069W，法人管丽萍，注册资本为8000万元人民币。企业主营水力发电，固定资产价值2亿元。</w:t>
      </w:r>
    </w:p>
    <w:p w14:paraId="0E4DE2C9">
      <w:pPr>
        <w:widowControl w:val="0"/>
        <w:spacing w:line="360" w:lineRule="auto"/>
        <w:ind w:firstLine="420"/>
        <w:jc w:val="both"/>
        <w:rPr>
          <w:rFonts w:hint="eastAsia" w:ascii="仿宋" w:hAnsi="仿宋" w:eastAsia="仿宋"/>
          <w:bCs/>
          <w:kern w:val="2"/>
          <w:sz w:val="21"/>
          <w:szCs w:val="21"/>
          <w:u w:val="none"/>
          <w:lang w:val="en-US" w:eastAsia="zh-CN"/>
        </w:rPr>
      </w:pPr>
      <w:r>
        <w:rPr>
          <w:rFonts w:hint="eastAsia" w:ascii="仿宋" w:hAnsi="仿宋" w:eastAsia="仿宋"/>
          <w:bCs/>
          <w:kern w:val="2"/>
          <w:sz w:val="21"/>
          <w:szCs w:val="21"/>
          <w:u w:val="none"/>
          <w:lang w:val="en-US" w:eastAsia="zh-CN"/>
        </w:rPr>
        <w:t>所持电站为温宿县塔格拉克一、二级水电站（装机17MW），2021至2023年年均发电量为6646万Kwh，分别为6520万Kwh，6649万Kwh，6769万Kwh，呈逐年上涨趋势。售电单价为0.235元/Kwh，近三年平均发电收入1562万元。</w:t>
      </w:r>
    </w:p>
    <w:p w14:paraId="5E9B8D9E">
      <w:pPr>
        <w:widowControl w:val="0"/>
        <w:spacing w:line="360" w:lineRule="auto"/>
        <w:ind w:firstLine="420"/>
        <w:jc w:val="both"/>
        <w:rPr>
          <w:rFonts w:hint="eastAsia" w:ascii="仿宋" w:hAnsi="仿宋" w:eastAsia="仿宋"/>
          <w:bCs/>
          <w:kern w:val="2"/>
          <w:sz w:val="21"/>
          <w:szCs w:val="21"/>
          <w:u w:val="none"/>
          <w:lang w:val="en-US" w:eastAsia="zh-CN"/>
        </w:rPr>
      </w:pPr>
      <w:r>
        <w:rPr>
          <w:rFonts w:hint="eastAsia" w:ascii="仿宋" w:hAnsi="仿宋" w:eastAsia="仿宋"/>
          <w:bCs/>
          <w:kern w:val="2"/>
          <w:sz w:val="21"/>
          <w:szCs w:val="21"/>
          <w:u w:val="none"/>
          <w:lang w:eastAsia="zh-CN"/>
        </w:rPr>
        <w:t>（</w:t>
      </w:r>
      <w:r>
        <w:rPr>
          <w:rFonts w:hint="eastAsia" w:ascii="仿宋" w:hAnsi="仿宋" w:eastAsia="仿宋"/>
          <w:bCs/>
          <w:kern w:val="2"/>
          <w:sz w:val="21"/>
          <w:szCs w:val="21"/>
          <w:u w:val="none"/>
          <w:lang w:val="en-US" w:eastAsia="zh-CN"/>
        </w:rPr>
        <w:t>四</w:t>
      </w:r>
      <w:r>
        <w:rPr>
          <w:rFonts w:hint="eastAsia" w:ascii="仿宋" w:hAnsi="仿宋" w:eastAsia="仿宋"/>
          <w:bCs/>
          <w:kern w:val="2"/>
          <w:sz w:val="21"/>
          <w:szCs w:val="21"/>
          <w:u w:val="none"/>
          <w:lang w:eastAsia="zh-CN"/>
        </w:rPr>
        <w:t>）</w:t>
      </w:r>
      <w:r>
        <w:rPr>
          <w:rFonts w:hint="eastAsia" w:ascii="仿宋" w:hAnsi="仿宋" w:eastAsia="仿宋"/>
          <w:bCs/>
          <w:kern w:val="2"/>
          <w:sz w:val="21"/>
          <w:szCs w:val="21"/>
          <w:u w:val="none"/>
        </w:rPr>
        <w:t>且末县通力水电有限责任公司</w:t>
      </w:r>
    </w:p>
    <w:p w14:paraId="7797D9A6">
      <w:pPr>
        <w:widowControl w:val="0"/>
        <w:spacing w:line="360" w:lineRule="auto"/>
        <w:ind w:firstLine="420"/>
        <w:jc w:val="both"/>
        <w:rPr>
          <w:rFonts w:hint="eastAsia" w:ascii="仿宋" w:hAnsi="仿宋" w:eastAsia="仿宋"/>
          <w:bCs/>
          <w:kern w:val="2"/>
          <w:sz w:val="21"/>
          <w:szCs w:val="21"/>
          <w:u w:val="none"/>
          <w:lang w:val="en-US" w:eastAsia="zh-CN"/>
        </w:rPr>
      </w:pPr>
      <w:r>
        <w:rPr>
          <w:rFonts w:hint="eastAsia" w:ascii="仿宋" w:hAnsi="仿宋" w:eastAsia="仿宋"/>
          <w:bCs/>
          <w:kern w:val="2"/>
          <w:sz w:val="21"/>
          <w:szCs w:val="21"/>
          <w:u w:val="none"/>
          <w:lang w:val="en-US" w:eastAsia="zh-CN"/>
        </w:rPr>
        <w:t>且末县通力水电有限责任公司成立于2014年03月19日，公司坐落在新疆，注册于新疆巴州且末县埃塔南路西-4丘-13号;公司信用代码/税号为916528250948819870，法人管丽萍，注册资本为4072.95万元人民币。企业主营水力发电，固定资产价值0.4亿元。</w:t>
      </w:r>
    </w:p>
    <w:p w14:paraId="32C4F99A">
      <w:pPr>
        <w:widowControl w:val="0"/>
        <w:spacing w:line="360" w:lineRule="auto"/>
        <w:ind w:firstLine="420"/>
        <w:jc w:val="both"/>
        <w:rPr>
          <w:rFonts w:hint="eastAsia" w:ascii="仿宋" w:hAnsi="仿宋" w:eastAsia="仿宋"/>
          <w:bCs/>
          <w:kern w:val="2"/>
          <w:sz w:val="21"/>
          <w:szCs w:val="21"/>
          <w:u w:val="none"/>
          <w:lang w:val="en-US" w:eastAsia="zh-CN"/>
        </w:rPr>
      </w:pPr>
      <w:r>
        <w:rPr>
          <w:rFonts w:hint="eastAsia" w:ascii="仿宋" w:hAnsi="仿宋" w:eastAsia="仿宋"/>
          <w:bCs/>
          <w:kern w:val="2"/>
          <w:sz w:val="21"/>
          <w:szCs w:val="21"/>
          <w:u w:val="none"/>
          <w:lang w:val="en-US" w:eastAsia="zh-CN"/>
        </w:rPr>
        <w:t>所持电站为且末县通力三级水电站（装机2.4MW），2019至2023年年均发电量为1318万Kwh，分别为1347万Kwh，1268万Kwh，1264万Kwh，1409万Kwh，1304万Kwh。售电单价为0.235元/Kwh，近五年平均发电收入310万元。</w:t>
      </w:r>
    </w:p>
    <w:p w14:paraId="1A1A8236">
      <w:pPr>
        <w:widowControl w:val="0"/>
        <w:spacing w:line="360" w:lineRule="auto"/>
        <w:ind w:firstLine="420"/>
        <w:jc w:val="both"/>
        <w:rPr>
          <w:rFonts w:hint="eastAsia" w:ascii="仿宋" w:hAnsi="仿宋" w:eastAsia="仿宋"/>
          <w:bCs/>
          <w:kern w:val="2"/>
          <w:sz w:val="21"/>
          <w:szCs w:val="21"/>
          <w:u w:val="none"/>
          <w:lang w:val="en-US" w:eastAsia="zh-CN"/>
        </w:rPr>
      </w:pPr>
      <w:r>
        <w:rPr>
          <w:rFonts w:hint="eastAsia" w:ascii="仿宋" w:hAnsi="仿宋" w:eastAsia="仿宋"/>
          <w:bCs/>
          <w:kern w:val="2"/>
          <w:sz w:val="21"/>
          <w:szCs w:val="21"/>
          <w:u w:val="none"/>
          <w:lang w:val="en-US" w:eastAsia="zh-CN"/>
        </w:rPr>
        <w:t>（五）尼勒克县孟克特水电投资有限公司和昭苏夏塔水电开发有限公司</w:t>
      </w:r>
    </w:p>
    <w:p w14:paraId="5F8B8892">
      <w:pPr>
        <w:widowControl w:val="0"/>
        <w:spacing w:line="360" w:lineRule="auto"/>
        <w:ind w:firstLine="420"/>
        <w:jc w:val="both"/>
        <w:rPr>
          <w:rFonts w:hint="eastAsia" w:ascii="仿宋" w:hAnsi="仿宋" w:eastAsia="仿宋"/>
          <w:bCs/>
          <w:kern w:val="2"/>
          <w:sz w:val="21"/>
          <w:szCs w:val="21"/>
          <w:u w:val="none"/>
          <w:lang w:val="en-US" w:eastAsia="zh-CN"/>
        </w:rPr>
      </w:pPr>
      <w:r>
        <w:rPr>
          <w:rFonts w:hint="eastAsia" w:ascii="仿宋" w:hAnsi="仿宋" w:eastAsia="仿宋"/>
          <w:bCs/>
          <w:kern w:val="2"/>
          <w:sz w:val="21"/>
          <w:szCs w:val="21"/>
          <w:u w:val="none"/>
        </w:rPr>
        <w:t>2024年4月22日</w:t>
      </w:r>
      <w:r>
        <w:rPr>
          <w:rFonts w:hint="eastAsia" w:ascii="仿宋" w:hAnsi="仿宋" w:eastAsia="仿宋"/>
          <w:bCs/>
          <w:kern w:val="2"/>
          <w:sz w:val="21"/>
          <w:szCs w:val="21"/>
          <w:u w:val="none"/>
          <w:lang w:eastAsia="zh-CN"/>
        </w:rPr>
        <w:t>，</w:t>
      </w:r>
      <w:r>
        <w:rPr>
          <w:rFonts w:hint="eastAsia" w:ascii="仿宋" w:hAnsi="仿宋" w:eastAsia="仿宋"/>
          <w:bCs/>
          <w:kern w:val="2"/>
          <w:sz w:val="21"/>
          <w:szCs w:val="21"/>
          <w:u w:val="none"/>
          <w:lang w:val="en-US" w:eastAsia="zh-CN"/>
        </w:rPr>
        <w:t>我公司已完成</w:t>
      </w:r>
      <w:r>
        <w:rPr>
          <w:rFonts w:hint="eastAsia" w:ascii="仿宋" w:hAnsi="仿宋" w:eastAsia="仿宋"/>
          <w:bCs/>
          <w:kern w:val="2"/>
          <w:sz w:val="21"/>
          <w:szCs w:val="21"/>
          <w:u w:val="none"/>
        </w:rPr>
        <w:t>伊犁尼勒克县孟克特水电投资有限公司32.6119%(人民币：15505065.07元</w:t>
      </w:r>
      <w:r>
        <w:rPr>
          <w:rFonts w:hint="eastAsia" w:ascii="仿宋" w:hAnsi="仿宋" w:eastAsia="仿宋"/>
          <w:bCs/>
          <w:kern w:val="2"/>
          <w:sz w:val="21"/>
          <w:szCs w:val="21"/>
          <w:u w:val="none"/>
          <w:lang w:eastAsia="zh-CN"/>
        </w:rPr>
        <w:t>）</w:t>
      </w:r>
      <w:r>
        <w:rPr>
          <w:rFonts w:hint="eastAsia" w:ascii="仿宋" w:hAnsi="仿宋" w:eastAsia="仿宋"/>
          <w:bCs/>
          <w:kern w:val="2"/>
          <w:sz w:val="21"/>
          <w:szCs w:val="21"/>
          <w:u w:val="none"/>
        </w:rPr>
        <w:t>的国有股权和昭苏夏塔水电开发有限公司43.3475%（人民币：18643431.74元</w:t>
      </w:r>
      <w:r>
        <w:rPr>
          <w:rFonts w:hint="eastAsia" w:ascii="仿宋" w:hAnsi="仿宋" w:eastAsia="仿宋"/>
          <w:bCs/>
          <w:kern w:val="2"/>
          <w:sz w:val="21"/>
          <w:szCs w:val="21"/>
          <w:u w:val="none"/>
          <w:lang w:eastAsia="zh-CN"/>
        </w:rPr>
        <w:t>）</w:t>
      </w:r>
      <w:r>
        <w:rPr>
          <w:rFonts w:hint="eastAsia" w:ascii="仿宋" w:hAnsi="仿宋" w:eastAsia="仿宋"/>
          <w:bCs/>
          <w:kern w:val="2"/>
          <w:sz w:val="21"/>
          <w:szCs w:val="21"/>
          <w:u w:val="none"/>
        </w:rPr>
        <w:t>的国有股权</w:t>
      </w:r>
      <w:r>
        <w:rPr>
          <w:rFonts w:hint="eastAsia" w:ascii="仿宋" w:hAnsi="仿宋" w:eastAsia="仿宋"/>
          <w:bCs/>
          <w:kern w:val="2"/>
          <w:sz w:val="21"/>
          <w:szCs w:val="21"/>
          <w:u w:val="none"/>
          <w:lang w:val="en-US" w:eastAsia="zh-CN"/>
        </w:rPr>
        <w:t>收购。</w:t>
      </w:r>
    </w:p>
    <w:p w14:paraId="4C2ADD95">
      <w:pPr>
        <w:widowControl w:val="0"/>
        <w:spacing w:line="360" w:lineRule="auto"/>
        <w:ind w:firstLine="420"/>
        <w:jc w:val="both"/>
        <w:rPr>
          <w:rFonts w:hint="eastAsia" w:ascii="仿宋" w:hAnsi="仿宋" w:eastAsia="仿宋"/>
          <w:bCs/>
          <w:kern w:val="2"/>
          <w:sz w:val="21"/>
          <w:szCs w:val="21"/>
          <w:highlight w:val="none"/>
          <w:u w:val="none"/>
          <w:lang w:val="en-US" w:eastAsia="zh-CN"/>
        </w:rPr>
      </w:pPr>
      <w:r>
        <w:rPr>
          <w:rFonts w:hint="eastAsia" w:ascii="仿宋" w:hAnsi="仿宋" w:eastAsia="仿宋"/>
          <w:bCs/>
          <w:kern w:val="2"/>
          <w:sz w:val="21"/>
          <w:szCs w:val="21"/>
          <w:u w:val="none"/>
          <w:lang w:val="en-US" w:eastAsia="zh-CN"/>
        </w:rPr>
        <w:t>两公司所持的</w:t>
      </w:r>
      <w:r>
        <w:rPr>
          <w:rFonts w:hint="eastAsia" w:ascii="仿宋" w:hAnsi="仿宋" w:eastAsia="仿宋"/>
          <w:bCs/>
          <w:kern w:val="2"/>
          <w:sz w:val="21"/>
          <w:szCs w:val="21"/>
          <w:u w:val="none"/>
        </w:rPr>
        <w:t>孟克特水电站</w:t>
      </w:r>
      <w:r>
        <w:rPr>
          <w:rFonts w:hint="eastAsia" w:ascii="仿宋" w:hAnsi="仿宋" w:eastAsia="仿宋"/>
          <w:bCs/>
          <w:kern w:val="2"/>
          <w:sz w:val="21"/>
          <w:szCs w:val="21"/>
          <w:u w:val="none"/>
          <w:lang w:val="en-US" w:eastAsia="zh-CN"/>
        </w:rPr>
        <w:t>和昭苏夏塔水电站装机分别为22兆瓦和20兆瓦，2019至2023年年均发电量为8566万Kwh，分别为8394万Kwh，7595万Kwh，8872万Kwh，8526</w:t>
      </w:r>
      <w:r>
        <w:rPr>
          <w:rFonts w:hint="eastAsia" w:ascii="仿宋" w:hAnsi="仿宋" w:eastAsia="仿宋"/>
          <w:bCs/>
          <w:kern w:val="2"/>
          <w:sz w:val="21"/>
          <w:szCs w:val="21"/>
          <w:highlight w:val="none"/>
          <w:u w:val="none"/>
          <w:lang w:val="en-US" w:eastAsia="zh-CN"/>
        </w:rPr>
        <w:t>万Kwh，9445万Kwh。售电单价为0.22元/Kwh，近五年平均发电收入1885万元。</w:t>
      </w:r>
    </w:p>
    <w:p w14:paraId="18839691">
      <w:pPr>
        <w:widowControl w:val="0"/>
        <w:spacing w:line="360" w:lineRule="auto"/>
        <w:ind w:firstLine="420"/>
        <w:jc w:val="both"/>
        <w:rPr>
          <w:rFonts w:hint="eastAsia" w:ascii="仿宋" w:hAnsi="仿宋" w:eastAsia="仿宋"/>
          <w:bCs/>
          <w:kern w:val="2"/>
          <w:sz w:val="22"/>
          <w:szCs w:val="22"/>
          <w:highlight w:val="none"/>
          <w:u w:val="single"/>
        </w:rPr>
      </w:pPr>
      <w:r>
        <w:rPr>
          <w:rFonts w:hint="eastAsia" w:ascii="仿宋" w:hAnsi="仿宋" w:eastAsia="仿宋"/>
          <w:b/>
          <w:kern w:val="2"/>
          <w:sz w:val="22"/>
          <w:szCs w:val="22"/>
          <w:highlight w:val="none"/>
          <w:u w:val="single"/>
          <w:lang w:val="en-US" w:eastAsia="zh-CN"/>
        </w:rPr>
        <w:t>房屋建筑</w:t>
      </w:r>
      <w:r>
        <w:rPr>
          <w:rFonts w:hint="eastAsia" w:ascii="仿宋" w:hAnsi="仿宋" w:eastAsia="仿宋"/>
          <w:b/>
          <w:kern w:val="2"/>
          <w:sz w:val="22"/>
          <w:szCs w:val="22"/>
          <w:highlight w:val="none"/>
          <w:u w:val="single"/>
        </w:rPr>
        <w:t>板块</w:t>
      </w:r>
      <w:r>
        <w:rPr>
          <w:rFonts w:hint="eastAsia" w:ascii="仿宋" w:hAnsi="仿宋" w:eastAsia="仿宋"/>
          <w:bCs/>
          <w:kern w:val="2"/>
          <w:sz w:val="22"/>
          <w:szCs w:val="22"/>
          <w:highlight w:val="none"/>
          <w:u w:val="single"/>
        </w:rPr>
        <w:t>：</w:t>
      </w:r>
    </w:p>
    <w:p w14:paraId="3C0A6333">
      <w:pPr>
        <w:widowControl w:val="0"/>
        <w:spacing w:line="360" w:lineRule="auto"/>
        <w:ind w:firstLine="420"/>
        <w:jc w:val="both"/>
        <w:rPr>
          <w:rFonts w:hint="eastAsia" w:ascii="仿宋" w:hAnsi="仿宋" w:eastAsia="仿宋"/>
          <w:bCs/>
          <w:kern w:val="2"/>
          <w:sz w:val="21"/>
          <w:szCs w:val="21"/>
          <w:highlight w:val="none"/>
        </w:rPr>
      </w:pPr>
      <w:r>
        <w:rPr>
          <w:rFonts w:hint="eastAsia" w:ascii="仿宋" w:hAnsi="仿宋" w:eastAsia="仿宋"/>
          <w:bCs/>
          <w:kern w:val="2"/>
          <w:sz w:val="21"/>
          <w:szCs w:val="21"/>
          <w:highlight w:val="none"/>
        </w:rPr>
        <w:t>基本信息 新疆通力建设集团股份有限公司 (曾用名：新疆通力建设股份有限公司) ，成立于2004年，新疆宝发农资集团成员，位于新疆维吾尔自治区巴音郭楞蒙古自治州，是一家以从事房屋建筑业为主的企业。企业注册资本10000万人民币，超过了95%的新疆维吾尔自治区同行，实缴资本9998万人民币，是经新疆维吾尔自治区人民政府“新政函【2004】48号文批准，在新疆维吾尔自治区工商行政管理局登记注册的股份有限公司，总部位于</w:t>
      </w:r>
      <w:r>
        <w:rPr>
          <w:rFonts w:hint="eastAsia" w:ascii="仿宋" w:hAnsi="仿宋" w:eastAsia="仿宋"/>
          <w:bCs/>
          <w:kern w:val="2"/>
          <w:sz w:val="21"/>
          <w:szCs w:val="21"/>
          <w:highlight w:val="none"/>
          <w:lang w:val="en-US" w:eastAsia="zh-CN"/>
        </w:rPr>
        <w:t>乌鲁木齐市北京中路元盛祥符</w:t>
      </w:r>
      <w:r>
        <w:rPr>
          <w:rFonts w:hint="eastAsia" w:ascii="仿宋" w:hAnsi="仿宋" w:eastAsia="仿宋"/>
          <w:bCs/>
          <w:kern w:val="2"/>
          <w:sz w:val="21"/>
          <w:szCs w:val="21"/>
          <w:highlight w:val="none"/>
        </w:rPr>
        <w:t>。</w:t>
      </w:r>
    </w:p>
    <w:p w14:paraId="3DC13C4E">
      <w:pPr>
        <w:widowControl w:val="0"/>
        <w:spacing w:line="360" w:lineRule="auto"/>
        <w:ind w:firstLine="420"/>
        <w:jc w:val="both"/>
        <w:rPr>
          <w:rFonts w:hint="eastAsia" w:ascii="仿宋" w:hAnsi="仿宋" w:eastAsia="仿宋"/>
          <w:bCs/>
          <w:kern w:val="2"/>
          <w:sz w:val="21"/>
          <w:szCs w:val="21"/>
          <w:highlight w:val="none"/>
        </w:rPr>
      </w:pPr>
      <w:r>
        <w:rPr>
          <w:rFonts w:hint="eastAsia" w:ascii="仿宋" w:hAnsi="仿宋" w:eastAsia="仿宋"/>
          <w:bCs/>
          <w:kern w:val="2"/>
          <w:sz w:val="21"/>
          <w:szCs w:val="21"/>
          <w:highlight w:val="none"/>
        </w:rPr>
        <w:t>新疆</w:t>
      </w:r>
      <w:r>
        <w:rPr>
          <w:rFonts w:hint="eastAsia" w:ascii="仿宋" w:hAnsi="仿宋" w:eastAsia="仿宋"/>
          <w:bCs/>
          <w:kern w:val="2"/>
          <w:sz w:val="21"/>
          <w:szCs w:val="21"/>
          <w:highlight w:val="none"/>
          <w:lang w:val="en-US" w:eastAsia="zh-CN"/>
        </w:rPr>
        <w:t>通力建设</w:t>
      </w:r>
      <w:r>
        <w:rPr>
          <w:rFonts w:hint="eastAsia" w:ascii="仿宋" w:hAnsi="仿宋" w:eastAsia="仿宋"/>
          <w:bCs/>
          <w:kern w:val="2"/>
          <w:sz w:val="21"/>
          <w:szCs w:val="21"/>
          <w:highlight w:val="none"/>
        </w:rPr>
        <w:t>集团</w:t>
      </w:r>
      <w:r>
        <w:rPr>
          <w:rFonts w:hint="eastAsia" w:ascii="仿宋" w:hAnsi="仿宋" w:eastAsia="仿宋"/>
          <w:bCs/>
          <w:kern w:val="2"/>
          <w:sz w:val="21"/>
          <w:szCs w:val="21"/>
          <w:highlight w:val="none"/>
          <w:lang w:val="en-US" w:eastAsia="zh-CN"/>
        </w:rPr>
        <w:t>股份</w:t>
      </w:r>
      <w:r>
        <w:rPr>
          <w:rFonts w:hint="eastAsia" w:ascii="仿宋" w:hAnsi="仿宋" w:eastAsia="仿宋"/>
          <w:bCs/>
          <w:kern w:val="2"/>
          <w:sz w:val="21"/>
          <w:szCs w:val="21"/>
          <w:highlight w:val="none"/>
        </w:rPr>
        <w:t>有限公司，依靠“同心协力，敬业奉献，与时俱进，追求卓越”的企业精神，精心组织，科学施工，承建的工程先后获自治区优质工程“天山奖”6项，自治区市政优质工程奖3项，自治州优质工程“天鹅奖”8项，被自治区评为2000年度至2003年度市政工程“优秀施工企业”，被自治州人民政府评为2001、2002年度“重合同、守信用企业”、“三A级诚信企业”、“十强企业”，列2003年自治区已最具成长力企业30强之列。2004年公司又被新疆建筑业协会评为“自治区优秀施工企业”。同时所承建的库尔勒供水工程荣获2004年度“全国市政金杯示范工程奖”，孔雀河风景旅游带工程荣获2004年度“新疆市政优质工程奖”，新疆大学图书馆工程获得2004年度自治区建筑工程 “天山奖”，巴州水利设计院综合楼荣获2004度自治区级安全生产“文明工地”的光荣称号。2011年成为自治区重点扶持和培养的拟上市100家企业之一。自2012年以来，施工产值连续三年超过15亿元，企业利润率每年增速在15%以上。</w:t>
      </w:r>
    </w:p>
    <w:p w14:paraId="7BEDA11E">
      <w:pPr>
        <w:widowControl w:val="0"/>
        <w:spacing w:line="360" w:lineRule="auto"/>
        <w:ind w:firstLine="420"/>
        <w:jc w:val="both"/>
        <w:rPr>
          <w:rFonts w:hint="eastAsia" w:ascii="仿宋" w:hAnsi="仿宋" w:eastAsia="仿宋"/>
          <w:bCs/>
          <w:kern w:val="2"/>
          <w:sz w:val="21"/>
          <w:szCs w:val="21"/>
          <w:highlight w:val="none"/>
        </w:rPr>
      </w:pPr>
      <w:r>
        <w:rPr>
          <w:rFonts w:hint="eastAsia" w:ascii="仿宋" w:hAnsi="仿宋" w:eastAsia="仿宋"/>
          <w:bCs/>
          <w:kern w:val="2"/>
          <w:sz w:val="21"/>
          <w:szCs w:val="21"/>
          <w:highlight w:val="none"/>
        </w:rPr>
        <w:t>2014年1月，公司与新疆德坤建材实业有限公司签订战略合作协议，以兵团建筑市场为跳板，借助 “一带一路”国家战略和国家对兵团系统援建项目，在市场空间拓展、工程任务承揽和施工产值上实现三丰收，与兵团建筑企业齐头并进、共赢发展的过程中外塑形象、内练素质，不断夯实公司核心竞争力，使公司立于不败之地。</w:t>
      </w:r>
    </w:p>
    <w:p w14:paraId="248013BD">
      <w:pPr>
        <w:widowControl w:val="0"/>
        <w:spacing w:line="360" w:lineRule="auto"/>
        <w:ind w:firstLine="420"/>
        <w:jc w:val="both"/>
        <w:rPr>
          <w:rFonts w:hint="eastAsia" w:ascii="仿宋" w:hAnsi="仿宋" w:eastAsia="仿宋"/>
          <w:b/>
          <w:kern w:val="2"/>
          <w:sz w:val="21"/>
          <w:szCs w:val="21"/>
          <w:highlight w:val="none"/>
          <w:u w:val="single"/>
        </w:rPr>
      </w:pPr>
      <w:r>
        <w:rPr>
          <w:rFonts w:hint="eastAsia" w:ascii="仿宋" w:hAnsi="仿宋" w:eastAsia="仿宋"/>
          <w:b/>
          <w:kern w:val="2"/>
          <w:sz w:val="21"/>
          <w:szCs w:val="21"/>
          <w:highlight w:val="none"/>
          <w:u w:val="single"/>
          <w:lang w:val="en-US" w:eastAsia="zh-CN"/>
        </w:rPr>
        <w:t>房产</w:t>
      </w:r>
      <w:r>
        <w:rPr>
          <w:rFonts w:hint="eastAsia" w:ascii="仿宋" w:hAnsi="仿宋" w:eastAsia="仿宋"/>
          <w:b/>
          <w:kern w:val="2"/>
          <w:sz w:val="21"/>
          <w:szCs w:val="21"/>
          <w:highlight w:val="none"/>
          <w:u w:val="single"/>
        </w:rPr>
        <w:t>公司板块：</w:t>
      </w:r>
    </w:p>
    <w:p w14:paraId="15383F31">
      <w:pPr>
        <w:widowControl w:val="0"/>
        <w:spacing w:line="360" w:lineRule="auto"/>
        <w:ind w:firstLine="420"/>
        <w:jc w:val="both"/>
        <w:rPr>
          <w:rFonts w:hint="eastAsia" w:ascii="仿宋" w:hAnsi="仿宋" w:eastAsia="仿宋"/>
          <w:bCs/>
          <w:kern w:val="2"/>
          <w:sz w:val="21"/>
          <w:szCs w:val="21"/>
          <w:highlight w:val="none"/>
          <w:lang w:eastAsia="zh-CN"/>
        </w:rPr>
      </w:pPr>
      <w:r>
        <w:rPr>
          <w:rFonts w:hint="eastAsia" w:ascii="仿宋" w:hAnsi="仿宋" w:eastAsia="仿宋"/>
          <w:bCs/>
          <w:kern w:val="2"/>
          <w:sz w:val="21"/>
          <w:szCs w:val="21"/>
          <w:highlight w:val="none"/>
        </w:rPr>
        <w:t>新疆通力房地产开发有限公司(曾用名：新疆缇睦房地产开发有限责任公司)，成立于2002年，新疆宝发农资集团成员，位于新疆维吾尔自治区乌鲁木齐市，是一家以从事房地产业为主的企业。企业注册资本10000万人民币，超过了98%的新疆维吾尔自治区同行，实缴资本10000万人民币。</w:t>
      </w:r>
    </w:p>
    <w:p w14:paraId="1F02E357">
      <w:pPr>
        <w:widowControl w:val="0"/>
        <w:spacing w:line="360" w:lineRule="auto"/>
        <w:ind w:firstLine="420"/>
        <w:jc w:val="both"/>
        <w:rPr>
          <w:rFonts w:hint="eastAsia" w:ascii="仿宋" w:hAnsi="仿宋" w:eastAsia="仿宋"/>
          <w:bCs/>
          <w:kern w:val="2"/>
          <w:sz w:val="21"/>
          <w:szCs w:val="21"/>
          <w:highlight w:val="none"/>
          <w:lang w:val="en-US" w:eastAsia="zh-CN"/>
        </w:rPr>
      </w:pPr>
      <w:r>
        <w:rPr>
          <w:rFonts w:hint="eastAsia" w:ascii="仿宋" w:hAnsi="仿宋" w:eastAsia="仿宋"/>
          <w:bCs/>
          <w:kern w:val="2"/>
          <w:sz w:val="21"/>
          <w:szCs w:val="21"/>
          <w:highlight w:val="none"/>
        </w:rPr>
        <w:t>通力房产公司自2006、2007、2009年被中国农业银行巴州兵团支行在信用等级评定工作中被评为AA级</w:t>
      </w:r>
      <w:r>
        <w:rPr>
          <w:rFonts w:hint="eastAsia" w:ascii="仿宋" w:hAnsi="仿宋" w:eastAsia="仿宋"/>
          <w:bCs/>
          <w:kern w:val="2"/>
          <w:sz w:val="21"/>
          <w:szCs w:val="21"/>
          <w:highlight w:val="none"/>
          <w:lang w:eastAsia="zh-CN"/>
        </w:rPr>
        <w:t>，拥有可抵押资产18200万元，年开发能力10万平方米。</w:t>
      </w:r>
      <w:r>
        <w:rPr>
          <w:rFonts w:hint="eastAsia" w:ascii="仿宋" w:hAnsi="仿宋" w:eastAsia="仿宋"/>
          <w:bCs/>
          <w:kern w:val="2"/>
          <w:sz w:val="21"/>
          <w:szCs w:val="21"/>
          <w:highlight w:val="none"/>
          <w:lang w:val="en-US" w:eastAsia="zh-CN"/>
        </w:rPr>
        <w:t>公司已开发的七个主要项目介绍如下：</w:t>
      </w:r>
    </w:p>
    <w:p w14:paraId="0D84D7C7">
      <w:pPr>
        <w:widowControl w:val="0"/>
        <w:spacing w:line="360" w:lineRule="auto"/>
        <w:ind w:firstLine="420"/>
        <w:jc w:val="both"/>
        <w:rPr>
          <w:rFonts w:hint="default" w:ascii="仿宋" w:hAnsi="仿宋" w:eastAsia="仿宋"/>
          <w:bCs/>
          <w:kern w:val="2"/>
          <w:sz w:val="21"/>
          <w:szCs w:val="21"/>
          <w:highlight w:val="none"/>
          <w:lang w:val="en-US" w:eastAsia="zh-CN"/>
        </w:rPr>
      </w:pPr>
      <w:r>
        <w:rPr>
          <w:rFonts w:hint="eastAsia" w:ascii="仿宋" w:hAnsi="仿宋" w:eastAsia="仿宋"/>
          <w:bCs/>
          <w:kern w:val="2"/>
          <w:sz w:val="21"/>
          <w:szCs w:val="21"/>
          <w:highlight w:val="none"/>
          <w:lang w:val="en-US" w:eastAsia="zh-CN"/>
        </w:rPr>
        <w:t>1、通力商贸城</w:t>
      </w:r>
    </w:p>
    <w:p w14:paraId="5E251043">
      <w:pPr>
        <w:widowControl w:val="0"/>
        <w:spacing w:line="360" w:lineRule="auto"/>
        <w:ind w:firstLine="420"/>
        <w:jc w:val="both"/>
        <w:rPr>
          <w:rFonts w:hint="eastAsia" w:ascii="仿宋" w:hAnsi="仿宋" w:eastAsia="仿宋"/>
          <w:bCs/>
          <w:kern w:val="2"/>
          <w:sz w:val="21"/>
          <w:szCs w:val="21"/>
          <w:highlight w:val="none"/>
        </w:rPr>
      </w:pPr>
      <w:r>
        <w:rPr>
          <w:rFonts w:hint="eastAsia" w:ascii="仿宋" w:hAnsi="仿宋" w:eastAsia="仿宋"/>
          <w:bCs/>
          <w:kern w:val="2"/>
          <w:sz w:val="21"/>
          <w:szCs w:val="21"/>
          <w:highlight w:val="none"/>
        </w:rPr>
        <w:t>通力商贸城是我公司于1999年开发建设的综合商贸体，总建筑面积：5075.23平方米，地上三层、地下一层，紧邻南市区石化大道、杜鹃河景观带，地理位置无可比拟，周边有8路、9路、50路等多条公交线路，绝版地带，交通枢纽，坐享地价房价不断升值，地面停车位充沛，是64号小区5000余户业主的购物、消费首选。</w:t>
      </w:r>
    </w:p>
    <w:p w14:paraId="1C141EC2">
      <w:pPr>
        <w:widowControl w:val="0"/>
        <w:spacing w:line="360" w:lineRule="auto"/>
        <w:ind w:firstLine="420"/>
        <w:jc w:val="both"/>
        <w:rPr>
          <w:rFonts w:hint="eastAsia" w:ascii="仿宋" w:hAnsi="仿宋" w:eastAsia="仿宋"/>
          <w:bCs/>
          <w:kern w:val="2"/>
          <w:sz w:val="21"/>
          <w:szCs w:val="21"/>
          <w:highlight w:val="none"/>
        </w:rPr>
      </w:pPr>
      <w:r>
        <w:rPr>
          <w:rFonts w:hint="eastAsia" w:ascii="仿宋" w:hAnsi="仿宋" w:eastAsia="仿宋"/>
          <w:bCs/>
          <w:kern w:val="2"/>
          <w:sz w:val="21"/>
          <w:szCs w:val="21"/>
          <w:highlight w:val="none"/>
        </w:rPr>
        <w:t>2.玫瑰庄园小区</w:t>
      </w:r>
    </w:p>
    <w:p w14:paraId="3558FC7F">
      <w:pPr>
        <w:widowControl w:val="0"/>
        <w:spacing w:line="360" w:lineRule="auto"/>
        <w:ind w:firstLine="420"/>
        <w:jc w:val="both"/>
        <w:rPr>
          <w:rFonts w:hint="eastAsia" w:ascii="仿宋" w:hAnsi="仿宋" w:eastAsia="仿宋"/>
          <w:bCs/>
          <w:kern w:val="2"/>
          <w:sz w:val="21"/>
          <w:szCs w:val="21"/>
          <w:highlight w:val="none"/>
        </w:rPr>
      </w:pPr>
      <w:r>
        <w:rPr>
          <w:rFonts w:hint="eastAsia" w:ascii="仿宋" w:hAnsi="仿宋" w:eastAsia="仿宋"/>
          <w:bCs/>
          <w:kern w:val="2"/>
          <w:sz w:val="21"/>
          <w:szCs w:val="21"/>
          <w:highlight w:val="none"/>
        </w:rPr>
        <w:t>玫瑰庄园小区1-28#楼是我公司于2001年-2009年开发的住宅小区，位于南市区与开发区交汇处，雄踞梨城主轴石化大道，占据杜鹃河生态景观带，总建筑建面积：99651.28平方米，居民总户数1140户，为库尔勒市较早开发的刚需型居民小区。</w:t>
      </w:r>
    </w:p>
    <w:p w14:paraId="727AE4E3">
      <w:pPr>
        <w:widowControl w:val="0"/>
        <w:spacing w:line="360" w:lineRule="auto"/>
        <w:ind w:firstLine="420"/>
        <w:jc w:val="both"/>
        <w:rPr>
          <w:rFonts w:hint="eastAsia" w:ascii="仿宋" w:hAnsi="仿宋" w:eastAsia="仿宋"/>
          <w:bCs/>
          <w:kern w:val="2"/>
          <w:sz w:val="21"/>
          <w:szCs w:val="21"/>
          <w:highlight w:val="none"/>
        </w:rPr>
      </w:pPr>
      <w:r>
        <w:rPr>
          <w:rFonts w:hint="eastAsia" w:ascii="仿宋" w:hAnsi="仿宋" w:eastAsia="仿宋"/>
          <w:bCs/>
          <w:kern w:val="2"/>
          <w:sz w:val="21"/>
          <w:szCs w:val="21"/>
          <w:highlight w:val="none"/>
          <w:lang w:val="en-US" w:eastAsia="zh-CN"/>
        </w:rPr>
        <w:t>3</w:t>
      </w:r>
      <w:r>
        <w:rPr>
          <w:rFonts w:hint="eastAsia" w:ascii="仿宋" w:hAnsi="仿宋" w:eastAsia="仿宋"/>
          <w:bCs/>
          <w:kern w:val="2"/>
          <w:sz w:val="21"/>
          <w:szCs w:val="21"/>
          <w:highlight w:val="none"/>
        </w:rPr>
        <w:t>.通力大厦</w:t>
      </w:r>
    </w:p>
    <w:p w14:paraId="679BD070">
      <w:pPr>
        <w:widowControl w:val="0"/>
        <w:spacing w:line="360" w:lineRule="auto"/>
        <w:ind w:firstLine="420"/>
        <w:jc w:val="both"/>
        <w:rPr>
          <w:rFonts w:hint="eastAsia" w:ascii="仿宋" w:hAnsi="仿宋" w:eastAsia="仿宋"/>
          <w:bCs/>
          <w:kern w:val="2"/>
          <w:sz w:val="21"/>
          <w:szCs w:val="21"/>
          <w:highlight w:val="none"/>
        </w:rPr>
      </w:pPr>
      <w:r>
        <w:rPr>
          <w:rFonts w:hint="eastAsia" w:ascii="仿宋" w:hAnsi="仿宋" w:eastAsia="仿宋"/>
          <w:bCs/>
          <w:kern w:val="2"/>
          <w:sz w:val="21"/>
          <w:szCs w:val="21"/>
          <w:highlight w:val="none"/>
        </w:rPr>
        <w:t>通力大厦是我公司于2004年开发建设的商住小区，总建筑面积：23000平方米，地上18层、地下一层，地上1-4层商业、5-8层写字楼、9-16层住宅。位于人民东路，紧邻金丰大酒店、巴州人民医院、人民广场。慧眼电脑城是巴州IT配件销售龙头企业。</w:t>
      </w:r>
    </w:p>
    <w:p w14:paraId="074699B5">
      <w:pPr>
        <w:widowControl w:val="0"/>
        <w:spacing w:line="360" w:lineRule="auto"/>
        <w:ind w:firstLine="420"/>
        <w:jc w:val="both"/>
        <w:rPr>
          <w:rFonts w:hint="eastAsia" w:ascii="仿宋" w:hAnsi="仿宋" w:eastAsia="仿宋"/>
          <w:bCs/>
          <w:kern w:val="2"/>
          <w:sz w:val="21"/>
          <w:szCs w:val="21"/>
          <w:highlight w:val="none"/>
        </w:rPr>
      </w:pPr>
      <w:r>
        <w:rPr>
          <w:rFonts w:hint="eastAsia" w:ascii="仿宋" w:hAnsi="仿宋" w:eastAsia="仿宋"/>
          <w:bCs/>
          <w:kern w:val="2"/>
          <w:sz w:val="21"/>
          <w:szCs w:val="21"/>
          <w:highlight w:val="none"/>
        </w:rPr>
        <w:t>4.养征大厦</w:t>
      </w:r>
    </w:p>
    <w:p w14:paraId="75B0B587">
      <w:pPr>
        <w:widowControl w:val="0"/>
        <w:spacing w:line="360" w:lineRule="auto"/>
        <w:ind w:firstLine="420"/>
        <w:jc w:val="both"/>
        <w:rPr>
          <w:rFonts w:hint="eastAsia" w:ascii="仿宋" w:hAnsi="仿宋" w:eastAsia="仿宋"/>
          <w:bCs/>
          <w:kern w:val="2"/>
          <w:sz w:val="21"/>
          <w:szCs w:val="21"/>
          <w:highlight w:val="none"/>
        </w:rPr>
      </w:pPr>
      <w:r>
        <w:rPr>
          <w:rFonts w:hint="eastAsia" w:ascii="仿宋" w:hAnsi="仿宋" w:eastAsia="仿宋"/>
          <w:bCs/>
          <w:kern w:val="2"/>
          <w:sz w:val="21"/>
          <w:szCs w:val="21"/>
          <w:highlight w:val="none"/>
        </w:rPr>
        <w:t>养征大厦是我公司于2004年开发建设的商住小区，总建筑面积：16000平方米，地上11层、地下一层，地上1-2层商业，地上3-11层为住宅。位于青年路，紧邻小康城、巴州二中、巴州人民政府，地理位置无可比拟，是成熟的老城区核心商圈，地面停车位充沛。商业已全部出租。川风堂、巴州时代华纳影城等知名企业已经营多年。</w:t>
      </w:r>
    </w:p>
    <w:p w14:paraId="5F7150BF">
      <w:pPr>
        <w:widowControl w:val="0"/>
        <w:spacing w:line="360" w:lineRule="auto"/>
        <w:ind w:firstLine="420"/>
        <w:jc w:val="both"/>
        <w:rPr>
          <w:rFonts w:hint="eastAsia" w:ascii="仿宋" w:hAnsi="仿宋" w:eastAsia="仿宋"/>
          <w:bCs/>
          <w:kern w:val="2"/>
          <w:sz w:val="21"/>
          <w:szCs w:val="21"/>
          <w:highlight w:val="none"/>
        </w:rPr>
      </w:pPr>
    </w:p>
    <w:p w14:paraId="086D93F2">
      <w:pPr>
        <w:widowControl w:val="0"/>
        <w:spacing w:line="360" w:lineRule="auto"/>
        <w:ind w:firstLine="420"/>
        <w:jc w:val="both"/>
        <w:rPr>
          <w:rFonts w:hint="eastAsia" w:ascii="仿宋" w:hAnsi="仿宋" w:eastAsia="仿宋"/>
          <w:bCs/>
          <w:kern w:val="2"/>
          <w:sz w:val="21"/>
          <w:szCs w:val="21"/>
          <w:highlight w:val="none"/>
        </w:rPr>
      </w:pPr>
    </w:p>
    <w:p w14:paraId="086C13B5">
      <w:pPr>
        <w:widowControl w:val="0"/>
        <w:spacing w:line="360" w:lineRule="auto"/>
        <w:ind w:firstLine="420"/>
        <w:jc w:val="both"/>
        <w:rPr>
          <w:rFonts w:hint="eastAsia" w:ascii="仿宋" w:hAnsi="仿宋" w:eastAsia="仿宋"/>
          <w:bCs/>
          <w:kern w:val="2"/>
          <w:sz w:val="21"/>
          <w:szCs w:val="21"/>
          <w:highlight w:val="none"/>
        </w:rPr>
      </w:pPr>
      <w:r>
        <w:rPr>
          <w:rFonts w:hint="eastAsia" w:ascii="仿宋" w:hAnsi="仿宋" w:eastAsia="仿宋"/>
          <w:bCs/>
          <w:kern w:val="2"/>
          <w:sz w:val="21"/>
          <w:szCs w:val="21"/>
          <w:highlight w:val="none"/>
          <w:lang w:val="en-US" w:eastAsia="zh-CN"/>
        </w:rPr>
        <w:t>5</w:t>
      </w:r>
      <w:r>
        <w:rPr>
          <w:rFonts w:hint="eastAsia" w:ascii="仿宋" w:hAnsi="仿宋" w:eastAsia="仿宋"/>
          <w:bCs/>
          <w:kern w:val="2"/>
          <w:sz w:val="21"/>
          <w:szCs w:val="21"/>
          <w:highlight w:val="none"/>
        </w:rPr>
        <w:t>.通力华庭小区</w:t>
      </w:r>
    </w:p>
    <w:p w14:paraId="4F45603D">
      <w:pPr>
        <w:widowControl w:val="0"/>
        <w:spacing w:line="360" w:lineRule="auto"/>
        <w:ind w:firstLine="420"/>
        <w:jc w:val="both"/>
        <w:rPr>
          <w:rFonts w:hint="eastAsia" w:ascii="仿宋" w:hAnsi="仿宋" w:eastAsia="仿宋"/>
          <w:bCs/>
          <w:kern w:val="2"/>
          <w:sz w:val="21"/>
          <w:szCs w:val="21"/>
          <w:highlight w:val="none"/>
        </w:rPr>
      </w:pPr>
      <w:r>
        <w:rPr>
          <w:rFonts w:hint="eastAsia" w:ascii="仿宋" w:hAnsi="仿宋" w:eastAsia="仿宋"/>
          <w:bCs/>
          <w:kern w:val="2"/>
          <w:sz w:val="21"/>
          <w:szCs w:val="21"/>
          <w:highlight w:val="none"/>
        </w:rPr>
        <w:t>通力华庭是我公司于2013年开发建设的商住小区，位于人民东路北四巷，紧邻楼兰宾馆、人民广场、巴州二中，总建筑面积：26212.41平方米，地下二层，地上22层，1-2层商业，3-22层住宅，住户180户。是巴州地区首家引入立体停车位的小区，九重天足道等知名连锁企业入驻。</w:t>
      </w:r>
    </w:p>
    <w:p w14:paraId="29B45E16">
      <w:pPr>
        <w:widowControl w:val="0"/>
        <w:spacing w:line="360" w:lineRule="auto"/>
        <w:ind w:firstLine="420"/>
        <w:jc w:val="both"/>
        <w:rPr>
          <w:rFonts w:hint="eastAsia" w:ascii="仿宋" w:hAnsi="仿宋" w:eastAsia="仿宋"/>
          <w:bCs/>
          <w:kern w:val="2"/>
          <w:sz w:val="21"/>
          <w:szCs w:val="21"/>
          <w:highlight w:val="none"/>
        </w:rPr>
      </w:pPr>
      <w:r>
        <w:rPr>
          <w:rFonts w:hint="eastAsia" w:ascii="仿宋" w:hAnsi="仿宋" w:eastAsia="仿宋"/>
          <w:bCs/>
          <w:kern w:val="2"/>
          <w:sz w:val="21"/>
          <w:szCs w:val="21"/>
          <w:highlight w:val="none"/>
          <w:lang w:val="en-US" w:eastAsia="zh-CN"/>
        </w:rPr>
        <w:t>6</w:t>
      </w:r>
      <w:r>
        <w:rPr>
          <w:rFonts w:hint="eastAsia" w:ascii="仿宋" w:hAnsi="仿宋" w:eastAsia="仿宋"/>
          <w:bCs/>
          <w:kern w:val="2"/>
          <w:sz w:val="21"/>
          <w:szCs w:val="21"/>
          <w:highlight w:val="none"/>
        </w:rPr>
        <w:t>.春和锦苑</w:t>
      </w:r>
    </w:p>
    <w:p w14:paraId="27B8318D">
      <w:pPr>
        <w:widowControl w:val="0"/>
        <w:spacing w:line="360" w:lineRule="auto"/>
        <w:ind w:firstLine="420"/>
        <w:jc w:val="both"/>
        <w:rPr>
          <w:rFonts w:hint="eastAsia" w:ascii="仿宋" w:hAnsi="仿宋" w:eastAsia="仿宋"/>
          <w:bCs/>
          <w:kern w:val="2"/>
          <w:sz w:val="21"/>
          <w:szCs w:val="21"/>
          <w:highlight w:val="none"/>
        </w:rPr>
      </w:pPr>
      <w:r>
        <w:rPr>
          <w:rFonts w:hint="eastAsia" w:ascii="仿宋" w:hAnsi="仿宋" w:eastAsia="仿宋"/>
          <w:bCs/>
          <w:kern w:val="2"/>
          <w:sz w:val="21"/>
          <w:szCs w:val="21"/>
          <w:highlight w:val="none"/>
        </w:rPr>
        <w:t>规划总建筑面积约16635.44m²,总投资约5000万元。一期开发约11953.02m²,容积率1.01,主力户型为111m²—122m河景花园洋房。</w:t>
      </w:r>
    </w:p>
    <w:p w14:paraId="352B46A1">
      <w:pPr>
        <w:widowControl w:val="0"/>
        <w:spacing w:line="360" w:lineRule="auto"/>
        <w:ind w:firstLine="420"/>
        <w:jc w:val="both"/>
        <w:rPr>
          <w:rFonts w:hint="eastAsia" w:ascii="仿宋" w:hAnsi="仿宋" w:eastAsia="仿宋"/>
          <w:bCs/>
          <w:kern w:val="2"/>
          <w:sz w:val="21"/>
          <w:szCs w:val="21"/>
          <w:highlight w:val="none"/>
        </w:rPr>
      </w:pPr>
      <w:r>
        <w:rPr>
          <w:rFonts w:hint="eastAsia" w:ascii="仿宋" w:hAnsi="仿宋" w:eastAsia="仿宋"/>
          <w:bCs/>
          <w:kern w:val="2"/>
          <w:sz w:val="21"/>
          <w:szCs w:val="21"/>
          <w:highlight w:val="none"/>
          <w:lang w:val="en-US" w:eastAsia="zh-CN"/>
        </w:rPr>
        <w:t>7、</w:t>
      </w:r>
      <w:r>
        <w:rPr>
          <w:rFonts w:hint="eastAsia" w:ascii="仿宋" w:hAnsi="仿宋" w:eastAsia="仿宋"/>
          <w:bCs/>
          <w:kern w:val="2"/>
          <w:sz w:val="21"/>
          <w:szCs w:val="21"/>
          <w:highlight w:val="none"/>
        </w:rPr>
        <w:t>沁春锦苑</w:t>
      </w:r>
    </w:p>
    <w:p w14:paraId="4EB0E217">
      <w:pPr>
        <w:widowControl w:val="0"/>
        <w:spacing w:line="360" w:lineRule="auto"/>
        <w:ind w:firstLine="420"/>
        <w:jc w:val="both"/>
        <w:rPr>
          <w:rFonts w:hint="eastAsia" w:ascii="仿宋" w:hAnsi="仿宋" w:eastAsia="仿宋"/>
          <w:bCs/>
          <w:kern w:val="2"/>
          <w:sz w:val="21"/>
          <w:szCs w:val="21"/>
          <w:highlight w:val="none"/>
        </w:rPr>
      </w:pPr>
      <w:r>
        <w:rPr>
          <w:rFonts w:hint="eastAsia" w:ascii="仿宋" w:hAnsi="仿宋" w:eastAsia="仿宋"/>
          <w:bCs/>
          <w:kern w:val="2"/>
          <w:sz w:val="21"/>
          <w:szCs w:val="21"/>
          <w:highlight w:val="none"/>
        </w:rPr>
        <w:t>沁春锦苑新建项目是库尔勒市政府2019年重点开发项目，位于杜鹃河景观带旁，是低密度低容积率河景花园电梯洋房，与名校为邻，坐拥成熟配套。规划总建筑面积141191.93m²,总投资约5亿元人民币。一期开发约50000m²,容积率1.23,主力户型为126m²260m河景花园洋房。</w:t>
      </w:r>
    </w:p>
    <w:p w14:paraId="101D2C71">
      <w:pPr>
        <w:widowControl w:val="0"/>
        <w:spacing w:line="360" w:lineRule="auto"/>
        <w:ind w:firstLine="420"/>
        <w:jc w:val="both"/>
        <w:rPr>
          <w:rFonts w:ascii="仿宋" w:hAnsi="仿宋" w:eastAsia="仿宋"/>
          <w:bCs/>
          <w:kern w:val="2"/>
          <w:sz w:val="21"/>
          <w:szCs w:val="21"/>
        </w:rPr>
      </w:pPr>
      <w:r>
        <w:rPr>
          <w:rFonts w:hint="eastAsia" w:ascii="仿宋" w:hAnsi="仿宋" w:eastAsia="仿宋"/>
          <w:bCs/>
          <w:kern w:val="2"/>
          <w:sz w:val="21"/>
          <w:szCs w:val="21"/>
        </w:rPr>
        <w:t>以下为</w:t>
      </w:r>
      <w:r>
        <w:rPr>
          <w:rFonts w:hint="eastAsia" w:ascii="仿宋" w:hAnsi="仿宋" w:eastAsia="仿宋"/>
          <w:bCs/>
          <w:kern w:val="2"/>
          <w:sz w:val="21"/>
          <w:szCs w:val="21"/>
          <w:lang w:eastAsia="zh-CN"/>
        </w:rPr>
        <w:t>能源板块、</w:t>
      </w:r>
      <w:r>
        <w:rPr>
          <w:rFonts w:hint="eastAsia" w:ascii="仿宋" w:hAnsi="仿宋" w:eastAsia="仿宋"/>
          <w:bCs/>
          <w:kern w:val="2"/>
          <w:sz w:val="21"/>
          <w:szCs w:val="21"/>
          <w:lang w:val="en-US" w:eastAsia="zh-CN"/>
        </w:rPr>
        <w:t>房屋建筑</w:t>
      </w:r>
      <w:r>
        <w:rPr>
          <w:rFonts w:hint="eastAsia" w:ascii="仿宋" w:hAnsi="仿宋" w:eastAsia="仿宋"/>
          <w:bCs/>
          <w:kern w:val="2"/>
          <w:sz w:val="21"/>
          <w:szCs w:val="21"/>
          <w:lang w:eastAsia="zh-CN"/>
        </w:rPr>
        <w:t>板块</w:t>
      </w:r>
      <w:r>
        <w:rPr>
          <w:rFonts w:hint="eastAsia" w:ascii="仿宋" w:hAnsi="仿宋" w:eastAsia="仿宋"/>
          <w:bCs/>
          <w:kern w:val="2"/>
          <w:sz w:val="21"/>
          <w:szCs w:val="21"/>
          <w:lang w:val="en-US" w:eastAsia="zh-CN"/>
        </w:rPr>
        <w:t>和房产</w:t>
      </w:r>
      <w:r>
        <w:rPr>
          <w:rFonts w:hint="eastAsia" w:ascii="仿宋" w:hAnsi="仿宋" w:eastAsia="仿宋"/>
          <w:bCs/>
          <w:kern w:val="2"/>
          <w:sz w:val="21"/>
          <w:szCs w:val="21"/>
        </w:rPr>
        <w:t>板块的公开信息及财务情况：</w:t>
      </w:r>
    </w:p>
    <w:p w14:paraId="60E3C547">
      <w:pPr>
        <w:widowControl w:val="0"/>
        <w:spacing w:line="360" w:lineRule="auto"/>
        <w:ind w:firstLine="420"/>
        <w:jc w:val="both"/>
        <w:rPr>
          <w:rFonts w:ascii="仿宋" w:hAnsi="仿宋" w:eastAsia="仿宋"/>
          <w:b/>
          <w:kern w:val="2"/>
          <w:sz w:val="21"/>
          <w:szCs w:val="21"/>
          <w:u w:val="single"/>
        </w:rPr>
      </w:pPr>
      <w:r>
        <w:rPr>
          <w:rFonts w:hint="eastAsia" w:ascii="仿宋" w:hAnsi="仿宋" w:eastAsia="仿宋"/>
          <w:b/>
          <w:kern w:val="2"/>
          <w:sz w:val="21"/>
          <w:szCs w:val="21"/>
          <w:u w:val="single"/>
        </w:rPr>
        <w:t>板块公司公开信息查询</w:t>
      </w:r>
    </w:p>
    <w:p w14:paraId="5BCCA4AB">
      <w:pPr>
        <w:widowControl w:val="0"/>
        <w:spacing w:line="360" w:lineRule="auto"/>
        <w:ind w:firstLine="420"/>
        <w:jc w:val="both"/>
        <w:rPr>
          <w:rFonts w:ascii="仿宋" w:hAnsi="仿宋" w:eastAsia="仿宋"/>
          <w:b/>
          <w:color w:val="auto"/>
          <w:kern w:val="2"/>
          <w:sz w:val="21"/>
          <w:szCs w:val="21"/>
          <w:u w:val="single"/>
        </w:rPr>
      </w:pPr>
      <w:r>
        <w:rPr>
          <w:rFonts w:hint="eastAsia" w:ascii="仿宋" w:hAnsi="仿宋" w:eastAsia="仿宋"/>
          <w:b/>
          <w:color w:val="auto"/>
          <w:kern w:val="2"/>
          <w:sz w:val="21"/>
          <w:szCs w:val="21"/>
          <w:u w:val="single"/>
        </w:rPr>
        <w:t>1、各产业公司流贷明细</w:t>
      </w:r>
    </w:p>
    <w:tbl>
      <w:tblPr>
        <w:tblStyle w:val="3"/>
        <w:tblW w:w="0" w:type="auto"/>
        <w:jc w:val="center"/>
        <w:tblLayout w:type="fixed"/>
        <w:tblCellMar>
          <w:top w:w="0" w:type="dxa"/>
          <w:left w:w="108" w:type="dxa"/>
          <w:bottom w:w="0" w:type="dxa"/>
          <w:right w:w="108" w:type="dxa"/>
        </w:tblCellMar>
      </w:tblPr>
      <w:tblGrid>
        <w:gridCol w:w="534"/>
        <w:gridCol w:w="2409"/>
        <w:gridCol w:w="1701"/>
        <w:gridCol w:w="993"/>
        <w:gridCol w:w="992"/>
        <w:gridCol w:w="992"/>
        <w:gridCol w:w="901"/>
      </w:tblGrid>
      <w:tr w14:paraId="7168D296">
        <w:tblPrEx>
          <w:tblCellMar>
            <w:top w:w="0" w:type="dxa"/>
            <w:left w:w="108" w:type="dxa"/>
            <w:bottom w:w="0" w:type="dxa"/>
            <w:right w:w="108" w:type="dxa"/>
          </w:tblCellMar>
        </w:tblPrEx>
        <w:trPr>
          <w:trHeight w:val="360" w:hRule="atLeast"/>
          <w:jc w:val="center"/>
        </w:trPr>
        <w:tc>
          <w:tcPr>
            <w:tcW w:w="534" w:type="dxa"/>
            <w:tcBorders>
              <w:top w:val="single" w:color="auto" w:sz="4" w:space="0"/>
              <w:left w:val="single" w:color="auto" w:sz="4" w:space="0"/>
              <w:bottom w:val="single" w:color="auto" w:sz="4" w:space="0"/>
              <w:right w:val="single" w:color="auto" w:sz="4" w:space="0"/>
            </w:tcBorders>
            <w:shd w:val="clear" w:color="auto" w:fill="auto"/>
            <w:vAlign w:val="center"/>
          </w:tcPr>
          <w:p w14:paraId="00264C75">
            <w:pPr>
              <w:jc w:val="center"/>
              <w:rPr>
                <w:rFonts w:ascii="仿宋" w:hAnsi="仿宋" w:eastAsia="仿宋"/>
                <w:color w:val="auto"/>
                <w:sz w:val="15"/>
                <w:szCs w:val="15"/>
              </w:rPr>
            </w:pPr>
            <w:r>
              <w:rPr>
                <w:rFonts w:ascii="仿宋" w:hAnsi="仿宋" w:eastAsia="仿宋"/>
                <w:color w:val="auto"/>
                <w:sz w:val="15"/>
                <w:szCs w:val="15"/>
              </w:rPr>
              <w:t>序号</w:t>
            </w:r>
          </w:p>
        </w:tc>
        <w:tc>
          <w:tcPr>
            <w:tcW w:w="2409" w:type="dxa"/>
            <w:tcBorders>
              <w:top w:val="single" w:color="auto" w:sz="4" w:space="0"/>
              <w:left w:val="nil"/>
              <w:bottom w:val="single" w:color="auto" w:sz="4" w:space="0"/>
              <w:right w:val="single" w:color="auto" w:sz="4" w:space="0"/>
            </w:tcBorders>
            <w:shd w:val="clear" w:color="auto" w:fill="auto"/>
            <w:vAlign w:val="center"/>
          </w:tcPr>
          <w:p w14:paraId="316BD9C7">
            <w:pPr>
              <w:jc w:val="center"/>
              <w:rPr>
                <w:rFonts w:ascii="仿宋" w:hAnsi="仿宋" w:eastAsia="仿宋"/>
                <w:color w:val="auto"/>
                <w:sz w:val="15"/>
                <w:szCs w:val="15"/>
              </w:rPr>
            </w:pPr>
            <w:r>
              <w:rPr>
                <w:rFonts w:ascii="仿宋" w:hAnsi="仿宋" w:eastAsia="仿宋"/>
                <w:color w:val="auto"/>
                <w:sz w:val="15"/>
                <w:szCs w:val="15"/>
              </w:rPr>
              <w:t>名称</w:t>
            </w:r>
          </w:p>
        </w:tc>
        <w:tc>
          <w:tcPr>
            <w:tcW w:w="1701" w:type="dxa"/>
            <w:tcBorders>
              <w:top w:val="single" w:color="auto" w:sz="4" w:space="0"/>
              <w:left w:val="nil"/>
              <w:bottom w:val="single" w:color="auto" w:sz="4" w:space="0"/>
              <w:right w:val="single" w:color="auto" w:sz="4" w:space="0"/>
            </w:tcBorders>
            <w:shd w:val="clear" w:color="auto" w:fill="auto"/>
            <w:vAlign w:val="center"/>
          </w:tcPr>
          <w:p w14:paraId="2FB3E3A9">
            <w:pPr>
              <w:jc w:val="center"/>
              <w:rPr>
                <w:rFonts w:ascii="仿宋" w:hAnsi="仿宋" w:eastAsia="仿宋"/>
                <w:color w:val="auto"/>
                <w:sz w:val="15"/>
                <w:szCs w:val="15"/>
              </w:rPr>
            </w:pPr>
            <w:r>
              <w:rPr>
                <w:rFonts w:ascii="仿宋" w:hAnsi="仿宋" w:eastAsia="仿宋"/>
                <w:color w:val="auto"/>
                <w:sz w:val="15"/>
                <w:szCs w:val="15"/>
              </w:rPr>
              <w:t>贷款行</w:t>
            </w:r>
          </w:p>
        </w:tc>
        <w:tc>
          <w:tcPr>
            <w:tcW w:w="993" w:type="dxa"/>
            <w:tcBorders>
              <w:top w:val="single" w:color="auto" w:sz="4" w:space="0"/>
              <w:left w:val="nil"/>
              <w:bottom w:val="single" w:color="auto" w:sz="4" w:space="0"/>
              <w:right w:val="single" w:color="auto" w:sz="4" w:space="0"/>
            </w:tcBorders>
            <w:shd w:val="clear" w:color="auto" w:fill="auto"/>
            <w:vAlign w:val="center"/>
          </w:tcPr>
          <w:p w14:paraId="10DE406B">
            <w:pPr>
              <w:jc w:val="center"/>
              <w:rPr>
                <w:rFonts w:ascii="仿宋" w:hAnsi="仿宋" w:eastAsia="仿宋"/>
                <w:color w:val="auto"/>
                <w:sz w:val="15"/>
                <w:szCs w:val="15"/>
              </w:rPr>
            </w:pPr>
            <w:r>
              <w:rPr>
                <w:rFonts w:ascii="仿宋" w:hAnsi="仿宋" w:eastAsia="仿宋"/>
                <w:color w:val="auto"/>
                <w:sz w:val="15"/>
                <w:szCs w:val="15"/>
              </w:rPr>
              <w:t>贷款额</w:t>
            </w:r>
          </w:p>
        </w:tc>
        <w:tc>
          <w:tcPr>
            <w:tcW w:w="992" w:type="dxa"/>
            <w:tcBorders>
              <w:top w:val="single" w:color="auto" w:sz="4" w:space="0"/>
              <w:left w:val="nil"/>
              <w:bottom w:val="single" w:color="auto" w:sz="4" w:space="0"/>
              <w:right w:val="single" w:color="auto" w:sz="4" w:space="0"/>
            </w:tcBorders>
            <w:shd w:val="clear" w:color="auto" w:fill="auto"/>
            <w:vAlign w:val="center"/>
          </w:tcPr>
          <w:p w14:paraId="24B3311B">
            <w:pPr>
              <w:jc w:val="center"/>
              <w:rPr>
                <w:rFonts w:ascii="仿宋" w:hAnsi="仿宋" w:eastAsia="仿宋"/>
                <w:color w:val="auto"/>
                <w:sz w:val="15"/>
                <w:szCs w:val="15"/>
              </w:rPr>
            </w:pPr>
            <w:r>
              <w:rPr>
                <w:rFonts w:ascii="仿宋" w:hAnsi="仿宋" w:eastAsia="仿宋"/>
                <w:color w:val="auto"/>
                <w:sz w:val="15"/>
                <w:szCs w:val="15"/>
              </w:rPr>
              <w:t>贷款日</w:t>
            </w:r>
          </w:p>
        </w:tc>
        <w:tc>
          <w:tcPr>
            <w:tcW w:w="992" w:type="dxa"/>
            <w:tcBorders>
              <w:top w:val="single" w:color="auto" w:sz="4" w:space="0"/>
              <w:left w:val="nil"/>
              <w:bottom w:val="single" w:color="auto" w:sz="4" w:space="0"/>
              <w:right w:val="single" w:color="auto" w:sz="4" w:space="0"/>
            </w:tcBorders>
            <w:shd w:val="clear" w:color="auto" w:fill="auto"/>
            <w:vAlign w:val="center"/>
          </w:tcPr>
          <w:p w14:paraId="2DF08392">
            <w:pPr>
              <w:jc w:val="center"/>
              <w:rPr>
                <w:rFonts w:ascii="仿宋" w:hAnsi="仿宋" w:eastAsia="仿宋"/>
                <w:color w:val="auto"/>
                <w:sz w:val="15"/>
                <w:szCs w:val="15"/>
              </w:rPr>
            </w:pPr>
            <w:r>
              <w:rPr>
                <w:rFonts w:ascii="仿宋" w:hAnsi="仿宋" w:eastAsia="仿宋"/>
                <w:color w:val="auto"/>
                <w:sz w:val="15"/>
                <w:szCs w:val="15"/>
              </w:rPr>
              <w:t>到期日</w:t>
            </w:r>
          </w:p>
        </w:tc>
        <w:tc>
          <w:tcPr>
            <w:tcW w:w="901" w:type="dxa"/>
            <w:tcBorders>
              <w:top w:val="single" w:color="auto" w:sz="4" w:space="0"/>
              <w:left w:val="nil"/>
              <w:bottom w:val="single" w:color="auto" w:sz="4" w:space="0"/>
              <w:right w:val="single" w:color="auto" w:sz="4" w:space="0"/>
            </w:tcBorders>
            <w:shd w:val="clear" w:color="auto" w:fill="auto"/>
            <w:vAlign w:val="center"/>
          </w:tcPr>
          <w:p w14:paraId="73BF75E9">
            <w:pPr>
              <w:jc w:val="center"/>
              <w:rPr>
                <w:rFonts w:ascii="仿宋" w:hAnsi="仿宋" w:eastAsia="仿宋"/>
                <w:color w:val="auto"/>
                <w:sz w:val="15"/>
                <w:szCs w:val="15"/>
              </w:rPr>
            </w:pPr>
            <w:r>
              <w:rPr>
                <w:rFonts w:ascii="仿宋" w:hAnsi="仿宋" w:eastAsia="仿宋"/>
                <w:color w:val="auto"/>
                <w:sz w:val="15"/>
                <w:szCs w:val="15"/>
              </w:rPr>
              <w:t>贷款期限</w:t>
            </w:r>
          </w:p>
        </w:tc>
      </w:tr>
      <w:tr w14:paraId="0510A1DF">
        <w:tblPrEx>
          <w:tblCellMar>
            <w:top w:w="0" w:type="dxa"/>
            <w:left w:w="108" w:type="dxa"/>
            <w:bottom w:w="0" w:type="dxa"/>
            <w:right w:w="108" w:type="dxa"/>
          </w:tblCellMar>
        </w:tblPrEx>
        <w:trPr>
          <w:trHeight w:val="360" w:hRule="atLeast"/>
          <w:jc w:val="center"/>
        </w:trPr>
        <w:tc>
          <w:tcPr>
            <w:tcW w:w="534" w:type="dxa"/>
            <w:tcBorders>
              <w:top w:val="nil"/>
              <w:left w:val="single" w:color="auto" w:sz="4" w:space="0"/>
              <w:bottom w:val="single" w:color="auto" w:sz="4" w:space="0"/>
              <w:right w:val="single" w:color="auto" w:sz="4" w:space="0"/>
            </w:tcBorders>
            <w:shd w:val="clear" w:color="auto" w:fill="auto"/>
            <w:vAlign w:val="center"/>
          </w:tcPr>
          <w:p w14:paraId="159E1E75">
            <w:pPr>
              <w:jc w:val="center"/>
              <w:rPr>
                <w:rFonts w:ascii="仿宋" w:hAnsi="仿宋" w:eastAsia="仿宋"/>
                <w:color w:val="auto"/>
                <w:sz w:val="15"/>
                <w:szCs w:val="15"/>
              </w:rPr>
            </w:pPr>
            <w:r>
              <w:rPr>
                <w:rFonts w:ascii="仿宋" w:hAnsi="仿宋" w:eastAsia="仿宋"/>
                <w:color w:val="auto"/>
                <w:sz w:val="15"/>
                <w:szCs w:val="15"/>
              </w:rPr>
              <w:t>1</w:t>
            </w:r>
          </w:p>
        </w:tc>
        <w:tc>
          <w:tcPr>
            <w:tcW w:w="2409" w:type="dxa"/>
            <w:tcBorders>
              <w:top w:val="nil"/>
              <w:left w:val="nil"/>
              <w:bottom w:val="single" w:color="auto" w:sz="4" w:space="0"/>
              <w:right w:val="single" w:color="auto" w:sz="4" w:space="0"/>
            </w:tcBorders>
            <w:shd w:val="clear" w:color="auto" w:fill="auto"/>
            <w:vAlign w:val="center"/>
          </w:tcPr>
          <w:p w14:paraId="18212309">
            <w:pPr>
              <w:jc w:val="center"/>
              <w:rPr>
                <w:rFonts w:ascii="仿宋" w:hAnsi="仿宋" w:eastAsia="仿宋" w:cs="宋体"/>
                <w:color w:val="auto"/>
                <w:kern w:val="0"/>
                <w:sz w:val="15"/>
                <w:szCs w:val="15"/>
                <w:lang w:val="en-US" w:eastAsia="zh-CN" w:bidi="ar-SA"/>
              </w:rPr>
            </w:pPr>
            <w:r>
              <w:rPr>
                <w:rFonts w:hint="eastAsia" w:ascii="仿宋" w:hAnsi="仿宋" w:eastAsia="仿宋"/>
                <w:color w:val="auto"/>
                <w:sz w:val="18"/>
                <w:szCs w:val="18"/>
                <w:highlight w:val="none"/>
              </w:rPr>
              <w:t>新疆通力建设集团股份有限公司</w:t>
            </w:r>
          </w:p>
        </w:tc>
        <w:tc>
          <w:tcPr>
            <w:tcW w:w="1701" w:type="dxa"/>
            <w:tcBorders>
              <w:top w:val="nil"/>
              <w:left w:val="nil"/>
              <w:bottom w:val="single" w:color="auto" w:sz="4" w:space="0"/>
              <w:right w:val="single" w:color="auto" w:sz="4" w:space="0"/>
            </w:tcBorders>
            <w:shd w:val="clear" w:color="000000" w:fill="FFFFFF"/>
            <w:vAlign w:val="center"/>
          </w:tcPr>
          <w:p w14:paraId="6E84F0FA">
            <w:pPr>
              <w:jc w:val="center"/>
              <w:rPr>
                <w:rFonts w:hint="default" w:ascii="仿宋" w:hAnsi="仿宋" w:eastAsia="仿宋" w:cs="宋体"/>
                <w:color w:val="auto"/>
                <w:kern w:val="0"/>
                <w:sz w:val="15"/>
                <w:szCs w:val="15"/>
                <w:lang w:val="en-US" w:eastAsia="zh-CN" w:bidi="ar-SA"/>
              </w:rPr>
            </w:pPr>
            <w:r>
              <w:rPr>
                <w:rFonts w:hint="eastAsia" w:ascii="仿宋" w:hAnsi="仿宋" w:eastAsia="仿宋"/>
                <w:color w:val="auto"/>
                <w:sz w:val="15"/>
                <w:szCs w:val="15"/>
                <w:lang w:val="en-US" w:eastAsia="zh-CN"/>
              </w:rPr>
              <w:t>中国建设银行</w:t>
            </w:r>
          </w:p>
        </w:tc>
        <w:tc>
          <w:tcPr>
            <w:tcW w:w="993" w:type="dxa"/>
            <w:tcBorders>
              <w:top w:val="nil"/>
              <w:left w:val="nil"/>
              <w:bottom w:val="single" w:color="auto" w:sz="4" w:space="0"/>
              <w:right w:val="single" w:color="auto" w:sz="4" w:space="0"/>
            </w:tcBorders>
            <w:shd w:val="clear" w:color="auto" w:fill="auto"/>
            <w:vAlign w:val="center"/>
          </w:tcPr>
          <w:p w14:paraId="500002B4">
            <w:pPr>
              <w:jc w:val="center"/>
              <w:rPr>
                <w:rFonts w:hint="default" w:ascii="仿宋" w:hAnsi="仿宋" w:eastAsia="仿宋" w:cs="宋体"/>
                <w:color w:val="auto"/>
                <w:kern w:val="0"/>
                <w:sz w:val="15"/>
                <w:szCs w:val="15"/>
                <w:lang w:val="en-US" w:eastAsia="zh-CN" w:bidi="ar-SA"/>
              </w:rPr>
            </w:pPr>
            <w:r>
              <w:rPr>
                <w:rFonts w:hint="eastAsia" w:ascii="仿宋" w:hAnsi="仿宋" w:eastAsia="仿宋"/>
                <w:color w:val="auto"/>
                <w:sz w:val="15"/>
                <w:szCs w:val="15"/>
                <w:lang w:val="en-US" w:eastAsia="zh-CN"/>
              </w:rPr>
              <w:t>1200万元</w:t>
            </w:r>
          </w:p>
        </w:tc>
        <w:tc>
          <w:tcPr>
            <w:tcW w:w="992" w:type="dxa"/>
            <w:tcBorders>
              <w:top w:val="nil"/>
              <w:left w:val="nil"/>
              <w:bottom w:val="single" w:color="auto" w:sz="4" w:space="0"/>
              <w:right w:val="single" w:color="auto" w:sz="4" w:space="0"/>
            </w:tcBorders>
            <w:shd w:val="clear" w:color="auto" w:fill="auto"/>
            <w:noWrap/>
            <w:vAlign w:val="center"/>
          </w:tcPr>
          <w:p w14:paraId="7CB74A20">
            <w:pPr>
              <w:jc w:val="center"/>
              <w:rPr>
                <w:rFonts w:hint="eastAsia" w:ascii="仿宋" w:hAnsi="仿宋" w:eastAsia="仿宋" w:cs="宋体"/>
                <w:color w:val="auto"/>
                <w:kern w:val="0"/>
                <w:sz w:val="15"/>
                <w:szCs w:val="15"/>
                <w:lang w:val="en-US" w:eastAsia="zh-CN" w:bidi="ar-SA"/>
              </w:rPr>
            </w:pPr>
            <w:r>
              <w:rPr>
                <w:rFonts w:hint="eastAsia" w:ascii="仿宋" w:hAnsi="仿宋" w:eastAsia="仿宋"/>
                <w:color w:val="auto"/>
                <w:sz w:val="15"/>
                <w:szCs w:val="15"/>
                <w:lang w:val="en-US" w:eastAsia="zh-CN"/>
              </w:rPr>
              <w:t>/</w:t>
            </w:r>
          </w:p>
        </w:tc>
        <w:tc>
          <w:tcPr>
            <w:tcW w:w="992" w:type="dxa"/>
            <w:tcBorders>
              <w:top w:val="nil"/>
              <w:left w:val="nil"/>
              <w:bottom w:val="single" w:color="auto" w:sz="4" w:space="0"/>
              <w:right w:val="single" w:color="auto" w:sz="4" w:space="0"/>
            </w:tcBorders>
            <w:shd w:val="clear" w:color="auto" w:fill="auto"/>
            <w:noWrap/>
            <w:vAlign w:val="center"/>
          </w:tcPr>
          <w:p w14:paraId="21C0FF5C">
            <w:pPr>
              <w:jc w:val="center"/>
              <w:rPr>
                <w:rFonts w:hint="default" w:ascii="仿宋" w:hAnsi="仿宋" w:eastAsia="仿宋" w:cs="宋体"/>
                <w:color w:val="auto"/>
                <w:kern w:val="0"/>
                <w:sz w:val="15"/>
                <w:szCs w:val="15"/>
                <w:lang w:val="en-US" w:eastAsia="zh-CN" w:bidi="ar-SA"/>
              </w:rPr>
            </w:pPr>
            <w:r>
              <w:rPr>
                <w:rFonts w:hint="eastAsia" w:ascii="仿宋" w:hAnsi="仿宋" w:eastAsia="仿宋"/>
                <w:color w:val="auto"/>
                <w:sz w:val="15"/>
                <w:szCs w:val="15"/>
                <w:lang w:val="en-US" w:eastAsia="zh-CN"/>
              </w:rPr>
              <w:t>2024年8月30日</w:t>
            </w:r>
          </w:p>
        </w:tc>
        <w:tc>
          <w:tcPr>
            <w:tcW w:w="901" w:type="dxa"/>
            <w:tcBorders>
              <w:top w:val="nil"/>
              <w:left w:val="nil"/>
              <w:bottom w:val="single" w:color="auto" w:sz="4" w:space="0"/>
              <w:right w:val="single" w:color="auto" w:sz="4" w:space="0"/>
            </w:tcBorders>
            <w:shd w:val="clear" w:color="auto" w:fill="auto"/>
            <w:vAlign w:val="center"/>
          </w:tcPr>
          <w:p w14:paraId="0423A6FB">
            <w:pPr>
              <w:jc w:val="center"/>
              <w:rPr>
                <w:rFonts w:hint="eastAsia" w:ascii="仿宋" w:hAnsi="仿宋" w:eastAsia="仿宋" w:cs="宋体"/>
                <w:color w:val="auto"/>
                <w:kern w:val="0"/>
                <w:sz w:val="15"/>
                <w:szCs w:val="15"/>
                <w:lang w:val="en-US" w:eastAsia="zh-CN" w:bidi="ar-SA"/>
              </w:rPr>
            </w:pPr>
            <w:r>
              <w:rPr>
                <w:rFonts w:hint="eastAsia" w:ascii="仿宋" w:hAnsi="仿宋" w:eastAsia="仿宋"/>
                <w:color w:val="auto"/>
                <w:sz w:val="15"/>
                <w:szCs w:val="15"/>
                <w:lang w:val="en-US" w:eastAsia="zh-CN"/>
              </w:rPr>
              <w:t>/</w:t>
            </w:r>
          </w:p>
        </w:tc>
      </w:tr>
      <w:tr w14:paraId="457101DF">
        <w:tblPrEx>
          <w:tblCellMar>
            <w:top w:w="0" w:type="dxa"/>
            <w:left w:w="108" w:type="dxa"/>
            <w:bottom w:w="0" w:type="dxa"/>
            <w:right w:w="108" w:type="dxa"/>
          </w:tblCellMar>
        </w:tblPrEx>
        <w:trPr>
          <w:trHeight w:val="360" w:hRule="atLeast"/>
          <w:jc w:val="center"/>
        </w:trPr>
        <w:tc>
          <w:tcPr>
            <w:tcW w:w="534" w:type="dxa"/>
            <w:tcBorders>
              <w:top w:val="nil"/>
              <w:left w:val="single" w:color="auto" w:sz="4" w:space="0"/>
              <w:bottom w:val="single" w:color="auto" w:sz="4" w:space="0"/>
              <w:right w:val="single" w:color="auto" w:sz="4" w:space="0"/>
            </w:tcBorders>
            <w:shd w:val="clear" w:color="auto" w:fill="auto"/>
            <w:vAlign w:val="center"/>
          </w:tcPr>
          <w:p w14:paraId="491E35B5">
            <w:pPr>
              <w:jc w:val="center"/>
              <w:rPr>
                <w:rFonts w:ascii="仿宋" w:hAnsi="仿宋" w:eastAsia="仿宋"/>
                <w:color w:val="auto"/>
                <w:sz w:val="15"/>
                <w:szCs w:val="15"/>
              </w:rPr>
            </w:pPr>
            <w:r>
              <w:rPr>
                <w:rFonts w:ascii="仿宋" w:hAnsi="仿宋" w:eastAsia="仿宋"/>
                <w:color w:val="auto"/>
                <w:sz w:val="15"/>
                <w:szCs w:val="15"/>
              </w:rPr>
              <w:t>2</w:t>
            </w:r>
          </w:p>
        </w:tc>
        <w:tc>
          <w:tcPr>
            <w:tcW w:w="2409" w:type="dxa"/>
            <w:tcBorders>
              <w:top w:val="nil"/>
              <w:left w:val="nil"/>
              <w:bottom w:val="single" w:color="auto" w:sz="4" w:space="0"/>
              <w:right w:val="single" w:color="auto" w:sz="4" w:space="0"/>
            </w:tcBorders>
            <w:shd w:val="clear" w:color="auto" w:fill="auto"/>
            <w:vAlign w:val="center"/>
          </w:tcPr>
          <w:p w14:paraId="26156BBE">
            <w:pPr>
              <w:jc w:val="center"/>
              <w:rPr>
                <w:rFonts w:ascii="仿宋" w:hAnsi="仿宋" w:eastAsia="仿宋" w:cs="宋体"/>
                <w:color w:val="auto"/>
                <w:kern w:val="0"/>
                <w:sz w:val="15"/>
                <w:szCs w:val="15"/>
                <w:lang w:val="en-US" w:eastAsia="zh-CN" w:bidi="ar-SA"/>
              </w:rPr>
            </w:pPr>
            <w:r>
              <w:rPr>
                <w:rFonts w:hint="eastAsia" w:ascii="仿宋" w:hAnsi="仿宋" w:eastAsia="仿宋"/>
                <w:color w:val="auto"/>
                <w:sz w:val="18"/>
                <w:szCs w:val="18"/>
                <w:highlight w:val="none"/>
              </w:rPr>
              <w:t>新疆通力建设集团股份有限公司</w:t>
            </w:r>
          </w:p>
        </w:tc>
        <w:tc>
          <w:tcPr>
            <w:tcW w:w="1701" w:type="dxa"/>
            <w:tcBorders>
              <w:top w:val="nil"/>
              <w:left w:val="nil"/>
              <w:bottom w:val="single" w:color="auto" w:sz="4" w:space="0"/>
              <w:right w:val="single" w:color="auto" w:sz="4" w:space="0"/>
            </w:tcBorders>
            <w:shd w:val="clear" w:color="000000" w:fill="FFFFFF"/>
            <w:vAlign w:val="center"/>
          </w:tcPr>
          <w:p w14:paraId="4DCE5EE9">
            <w:pPr>
              <w:jc w:val="center"/>
              <w:rPr>
                <w:rFonts w:hint="default" w:ascii="仿宋" w:hAnsi="仿宋" w:eastAsia="仿宋" w:cs="宋体"/>
                <w:color w:val="auto"/>
                <w:kern w:val="0"/>
                <w:sz w:val="15"/>
                <w:szCs w:val="15"/>
                <w:lang w:val="en-US" w:eastAsia="zh-CN" w:bidi="ar-SA"/>
              </w:rPr>
            </w:pPr>
            <w:r>
              <w:rPr>
                <w:rFonts w:hint="eastAsia" w:ascii="仿宋" w:hAnsi="仿宋" w:eastAsia="仿宋"/>
                <w:color w:val="auto"/>
                <w:sz w:val="15"/>
                <w:szCs w:val="15"/>
                <w:lang w:val="en-US" w:eastAsia="zh-CN"/>
              </w:rPr>
              <w:t>新疆银行</w:t>
            </w:r>
          </w:p>
        </w:tc>
        <w:tc>
          <w:tcPr>
            <w:tcW w:w="993" w:type="dxa"/>
            <w:tcBorders>
              <w:top w:val="nil"/>
              <w:left w:val="nil"/>
              <w:bottom w:val="single" w:color="auto" w:sz="4" w:space="0"/>
              <w:right w:val="single" w:color="auto" w:sz="4" w:space="0"/>
            </w:tcBorders>
            <w:shd w:val="clear" w:color="auto" w:fill="auto"/>
            <w:vAlign w:val="center"/>
          </w:tcPr>
          <w:p w14:paraId="66912490">
            <w:pPr>
              <w:jc w:val="center"/>
              <w:rPr>
                <w:rFonts w:hint="default" w:ascii="仿宋" w:hAnsi="仿宋" w:eastAsia="仿宋" w:cs="宋体"/>
                <w:color w:val="auto"/>
                <w:kern w:val="0"/>
                <w:sz w:val="15"/>
                <w:szCs w:val="15"/>
                <w:lang w:val="en-US" w:eastAsia="zh-CN" w:bidi="ar-SA"/>
              </w:rPr>
            </w:pPr>
            <w:r>
              <w:rPr>
                <w:rFonts w:hint="eastAsia" w:ascii="仿宋" w:hAnsi="仿宋" w:eastAsia="仿宋"/>
                <w:color w:val="auto"/>
                <w:sz w:val="15"/>
                <w:szCs w:val="15"/>
                <w:lang w:val="en-US" w:eastAsia="zh-CN"/>
              </w:rPr>
              <w:t>1350万元</w:t>
            </w:r>
          </w:p>
        </w:tc>
        <w:tc>
          <w:tcPr>
            <w:tcW w:w="992" w:type="dxa"/>
            <w:tcBorders>
              <w:top w:val="nil"/>
              <w:left w:val="nil"/>
              <w:bottom w:val="single" w:color="auto" w:sz="4" w:space="0"/>
              <w:right w:val="single" w:color="auto" w:sz="4" w:space="0"/>
            </w:tcBorders>
            <w:shd w:val="clear" w:color="auto" w:fill="auto"/>
            <w:noWrap/>
            <w:vAlign w:val="center"/>
          </w:tcPr>
          <w:p w14:paraId="63B31A3A">
            <w:pPr>
              <w:jc w:val="center"/>
              <w:rPr>
                <w:rFonts w:hint="default" w:ascii="仿宋" w:hAnsi="仿宋" w:eastAsia="仿宋" w:cs="宋体"/>
                <w:color w:val="auto"/>
                <w:kern w:val="0"/>
                <w:sz w:val="15"/>
                <w:szCs w:val="15"/>
                <w:lang w:val="en-US" w:eastAsia="zh-CN" w:bidi="ar-SA"/>
              </w:rPr>
            </w:pPr>
            <w:r>
              <w:rPr>
                <w:rFonts w:hint="eastAsia" w:ascii="仿宋" w:hAnsi="仿宋" w:eastAsia="仿宋"/>
                <w:color w:val="auto"/>
                <w:sz w:val="15"/>
                <w:szCs w:val="15"/>
                <w:lang w:val="en-US" w:eastAsia="zh-CN"/>
              </w:rPr>
              <w:t>2024年3月20日</w:t>
            </w:r>
          </w:p>
        </w:tc>
        <w:tc>
          <w:tcPr>
            <w:tcW w:w="992" w:type="dxa"/>
            <w:tcBorders>
              <w:top w:val="nil"/>
              <w:left w:val="nil"/>
              <w:bottom w:val="single" w:color="auto" w:sz="4" w:space="0"/>
              <w:right w:val="single" w:color="auto" w:sz="4" w:space="0"/>
            </w:tcBorders>
            <w:shd w:val="clear" w:color="auto" w:fill="auto"/>
            <w:noWrap/>
            <w:vAlign w:val="center"/>
          </w:tcPr>
          <w:p w14:paraId="07D3A59D">
            <w:pPr>
              <w:jc w:val="center"/>
              <w:rPr>
                <w:rFonts w:hint="default" w:ascii="仿宋" w:hAnsi="仿宋" w:eastAsia="仿宋" w:cs="宋体"/>
                <w:color w:val="auto"/>
                <w:kern w:val="0"/>
                <w:sz w:val="15"/>
                <w:szCs w:val="15"/>
                <w:lang w:val="en-US" w:eastAsia="zh-CN" w:bidi="ar-SA"/>
              </w:rPr>
            </w:pPr>
            <w:r>
              <w:rPr>
                <w:rFonts w:hint="eastAsia" w:ascii="仿宋" w:hAnsi="仿宋" w:eastAsia="仿宋"/>
                <w:color w:val="auto"/>
                <w:sz w:val="15"/>
                <w:szCs w:val="15"/>
                <w:lang w:val="en-US" w:eastAsia="zh-CN"/>
              </w:rPr>
              <w:t>2025年3月20日</w:t>
            </w:r>
          </w:p>
        </w:tc>
        <w:tc>
          <w:tcPr>
            <w:tcW w:w="901" w:type="dxa"/>
            <w:tcBorders>
              <w:top w:val="nil"/>
              <w:left w:val="nil"/>
              <w:bottom w:val="single" w:color="auto" w:sz="4" w:space="0"/>
              <w:right w:val="single" w:color="auto" w:sz="4" w:space="0"/>
            </w:tcBorders>
            <w:shd w:val="clear" w:color="auto" w:fill="auto"/>
            <w:vAlign w:val="center"/>
          </w:tcPr>
          <w:p w14:paraId="318A5297">
            <w:pPr>
              <w:jc w:val="center"/>
              <w:rPr>
                <w:rFonts w:hint="default" w:ascii="仿宋" w:hAnsi="仿宋" w:eastAsia="仿宋" w:cs="宋体"/>
                <w:color w:val="auto"/>
                <w:kern w:val="0"/>
                <w:sz w:val="15"/>
                <w:szCs w:val="15"/>
                <w:lang w:val="en-US" w:eastAsia="zh-CN" w:bidi="ar-SA"/>
              </w:rPr>
            </w:pPr>
            <w:r>
              <w:rPr>
                <w:rFonts w:hint="eastAsia" w:ascii="仿宋" w:hAnsi="仿宋" w:eastAsia="仿宋"/>
                <w:color w:val="auto"/>
                <w:sz w:val="15"/>
                <w:szCs w:val="15"/>
                <w:lang w:val="en-US" w:eastAsia="zh-CN"/>
              </w:rPr>
              <w:t>1年</w:t>
            </w:r>
          </w:p>
        </w:tc>
      </w:tr>
      <w:tr w14:paraId="2DD86712">
        <w:tblPrEx>
          <w:tblCellMar>
            <w:top w:w="0" w:type="dxa"/>
            <w:left w:w="108" w:type="dxa"/>
            <w:bottom w:w="0" w:type="dxa"/>
            <w:right w:w="108" w:type="dxa"/>
          </w:tblCellMar>
        </w:tblPrEx>
        <w:trPr>
          <w:trHeight w:val="360" w:hRule="atLeast"/>
          <w:jc w:val="center"/>
        </w:trPr>
        <w:tc>
          <w:tcPr>
            <w:tcW w:w="534" w:type="dxa"/>
            <w:tcBorders>
              <w:top w:val="nil"/>
              <w:left w:val="single" w:color="auto" w:sz="4" w:space="0"/>
              <w:bottom w:val="single" w:color="auto" w:sz="4" w:space="0"/>
              <w:right w:val="single" w:color="auto" w:sz="4" w:space="0"/>
            </w:tcBorders>
            <w:shd w:val="clear" w:color="auto" w:fill="auto"/>
            <w:vAlign w:val="center"/>
          </w:tcPr>
          <w:p w14:paraId="342B9103">
            <w:pPr>
              <w:jc w:val="center"/>
              <w:rPr>
                <w:rFonts w:ascii="仿宋" w:hAnsi="仿宋" w:eastAsia="仿宋"/>
                <w:color w:val="auto"/>
                <w:sz w:val="15"/>
                <w:szCs w:val="15"/>
              </w:rPr>
            </w:pPr>
            <w:r>
              <w:rPr>
                <w:rFonts w:ascii="仿宋" w:hAnsi="仿宋" w:eastAsia="仿宋"/>
                <w:color w:val="auto"/>
                <w:sz w:val="15"/>
                <w:szCs w:val="15"/>
              </w:rPr>
              <w:t>3</w:t>
            </w:r>
          </w:p>
        </w:tc>
        <w:tc>
          <w:tcPr>
            <w:tcW w:w="2409" w:type="dxa"/>
            <w:tcBorders>
              <w:top w:val="nil"/>
              <w:left w:val="nil"/>
              <w:bottom w:val="single" w:color="auto" w:sz="4" w:space="0"/>
              <w:right w:val="single" w:color="auto" w:sz="4" w:space="0"/>
            </w:tcBorders>
            <w:shd w:val="clear" w:color="auto" w:fill="auto"/>
            <w:vAlign w:val="center"/>
          </w:tcPr>
          <w:p w14:paraId="2BC7CBA9">
            <w:pPr>
              <w:jc w:val="center"/>
              <w:rPr>
                <w:rFonts w:ascii="仿宋" w:hAnsi="仿宋" w:eastAsia="仿宋" w:cs="宋体"/>
                <w:color w:val="auto"/>
                <w:kern w:val="0"/>
                <w:sz w:val="15"/>
                <w:szCs w:val="15"/>
                <w:lang w:val="en-US" w:eastAsia="zh-CN" w:bidi="ar-SA"/>
              </w:rPr>
            </w:pPr>
            <w:r>
              <w:rPr>
                <w:rFonts w:hint="eastAsia" w:ascii="仿宋" w:hAnsi="仿宋" w:eastAsia="仿宋"/>
                <w:color w:val="auto"/>
                <w:sz w:val="18"/>
                <w:szCs w:val="18"/>
                <w:highlight w:val="none"/>
              </w:rPr>
              <w:t>新疆通力建设集团股份有限公司</w:t>
            </w:r>
          </w:p>
        </w:tc>
        <w:tc>
          <w:tcPr>
            <w:tcW w:w="1701" w:type="dxa"/>
            <w:tcBorders>
              <w:top w:val="nil"/>
              <w:left w:val="nil"/>
              <w:bottom w:val="single" w:color="auto" w:sz="4" w:space="0"/>
              <w:right w:val="single" w:color="auto" w:sz="4" w:space="0"/>
            </w:tcBorders>
            <w:shd w:val="clear" w:color="000000" w:fill="FFFFFF"/>
            <w:vAlign w:val="center"/>
          </w:tcPr>
          <w:p w14:paraId="61F81959">
            <w:pPr>
              <w:jc w:val="center"/>
              <w:rPr>
                <w:rFonts w:ascii="仿宋" w:hAnsi="仿宋" w:eastAsia="仿宋" w:cs="宋体"/>
                <w:color w:val="auto"/>
                <w:kern w:val="0"/>
                <w:sz w:val="15"/>
                <w:szCs w:val="15"/>
                <w:lang w:val="en-US" w:eastAsia="zh-CN" w:bidi="ar-SA"/>
              </w:rPr>
            </w:pPr>
            <w:r>
              <w:rPr>
                <w:rFonts w:hint="eastAsia" w:ascii="仿宋" w:hAnsi="仿宋" w:eastAsia="仿宋"/>
                <w:color w:val="auto"/>
                <w:sz w:val="15"/>
                <w:szCs w:val="15"/>
                <w:lang w:val="en-US" w:eastAsia="zh-CN"/>
              </w:rPr>
              <w:t>中国建设银行</w:t>
            </w:r>
          </w:p>
        </w:tc>
        <w:tc>
          <w:tcPr>
            <w:tcW w:w="993" w:type="dxa"/>
            <w:tcBorders>
              <w:top w:val="nil"/>
              <w:left w:val="nil"/>
              <w:bottom w:val="single" w:color="auto" w:sz="4" w:space="0"/>
              <w:right w:val="single" w:color="auto" w:sz="4" w:space="0"/>
            </w:tcBorders>
            <w:shd w:val="clear" w:color="auto" w:fill="auto"/>
            <w:vAlign w:val="center"/>
          </w:tcPr>
          <w:p w14:paraId="4F72C231">
            <w:pPr>
              <w:jc w:val="center"/>
              <w:rPr>
                <w:rFonts w:hint="eastAsia" w:ascii="仿宋" w:hAnsi="仿宋" w:eastAsia="仿宋" w:cs="宋体"/>
                <w:color w:val="auto"/>
                <w:kern w:val="0"/>
                <w:sz w:val="15"/>
                <w:szCs w:val="15"/>
                <w:lang w:val="en-US" w:eastAsia="zh-CN" w:bidi="ar-SA"/>
              </w:rPr>
            </w:pPr>
            <w:r>
              <w:rPr>
                <w:rFonts w:hint="eastAsia" w:ascii="仿宋" w:hAnsi="仿宋" w:eastAsia="仿宋"/>
                <w:color w:val="auto"/>
                <w:sz w:val="15"/>
                <w:szCs w:val="15"/>
              </w:rPr>
              <w:t>2700万</w:t>
            </w:r>
            <w:r>
              <w:rPr>
                <w:rFonts w:hint="eastAsia" w:ascii="仿宋" w:hAnsi="仿宋" w:eastAsia="仿宋"/>
                <w:color w:val="auto"/>
                <w:sz w:val="15"/>
                <w:szCs w:val="15"/>
                <w:lang w:val="en-US" w:eastAsia="zh-CN"/>
              </w:rPr>
              <w:t>元</w:t>
            </w:r>
          </w:p>
        </w:tc>
        <w:tc>
          <w:tcPr>
            <w:tcW w:w="992" w:type="dxa"/>
            <w:tcBorders>
              <w:top w:val="nil"/>
              <w:left w:val="nil"/>
              <w:bottom w:val="single" w:color="auto" w:sz="4" w:space="0"/>
              <w:right w:val="single" w:color="auto" w:sz="4" w:space="0"/>
            </w:tcBorders>
            <w:shd w:val="clear" w:color="auto" w:fill="auto"/>
            <w:vAlign w:val="center"/>
          </w:tcPr>
          <w:p w14:paraId="179CAB14">
            <w:pPr>
              <w:jc w:val="center"/>
              <w:rPr>
                <w:rFonts w:ascii="仿宋" w:hAnsi="仿宋" w:eastAsia="仿宋" w:cs="宋体"/>
                <w:color w:val="auto"/>
                <w:kern w:val="0"/>
                <w:sz w:val="15"/>
                <w:szCs w:val="15"/>
                <w:lang w:val="en-US" w:eastAsia="zh-CN" w:bidi="ar-SA"/>
              </w:rPr>
            </w:pPr>
            <w:r>
              <w:rPr>
                <w:rFonts w:hint="eastAsia" w:ascii="仿宋" w:hAnsi="仿宋" w:eastAsia="仿宋"/>
                <w:color w:val="auto"/>
                <w:sz w:val="15"/>
                <w:szCs w:val="15"/>
                <w:lang w:val="en-US" w:eastAsia="zh-CN"/>
              </w:rPr>
              <w:t>2024年4月</w:t>
            </w:r>
          </w:p>
        </w:tc>
        <w:tc>
          <w:tcPr>
            <w:tcW w:w="992" w:type="dxa"/>
            <w:tcBorders>
              <w:top w:val="nil"/>
              <w:left w:val="nil"/>
              <w:bottom w:val="single" w:color="auto" w:sz="4" w:space="0"/>
              <w:right w:val="single" w:color="auto" w:sz="4" w:space="0"/>
            </w:tcBorders>
            <w:shd w:val="clear" w:color="auto" w:fill="auto"/>
            <w:vAlign w:val="center"/>
          </w:tcPr>
          <w:p w14:paraId="16245335">
            <w:pPr>
              <w:jc w:val="center"/>
              <w:rPr>
                <w:rFonts w:ascii="仿宋" w:hAnsi="仿宋" w:eastAsia="仿宋" w:cs="宋体"/>
                <w:color w:val="auto"/>
                <w:kern w:val="0"/>
                <w:sz w:val="15"/>
                <w:szCs w:val="15"/>
                <w:lang w:val="en-US" w:eastAsia="zh-CN" w:bidi="ar-SA"/>
              </w:rPr>
            </w:pPr>
            <w:r>
              <w:rPr>
                <w:rFonts w:hint="eastAsia" w:ascii="仿宋" w:hAnsi="仿宋" w:eastAsia="仿宋"/>
                <w:color w:val="auto"/>
                <w:sz w:val="15"/>
                <w:szCs w:val="15"/>
                <w:lang w:val="en-US" w:eastAsia="zh-CN"/>
              </w:rPr>
              <w:t>2025年4月</w:t>
            </w:r>
          </w:p>
        </w:tc>
        <w:tc>
          <w:tcPr>
            <w:tcW w:w="901" w:type="dxa"/>
            <w:tcBorders>
              <w:top w:val="nil"/>
              <w:left w:val="nil"/>
              <w:bottom w:val="single" w:color="auto" w:sz="4" w:space="0"/>
              <w:right w:val="single" w:color="auto" w:sz="4" w:space="0"/>
            </w:tcBorders>
            <w:shd w:val="clear" w:color="auto" w:fill="auto"/>
            <w:vAlign w:val="center"/>
          </w:tcPr>
          <w:p w14:paraId="0BF19A18">
            <w:pPr>
              <w:jc w:val="center"/>
              <w:rPr>
                <w:rFonts w:hint="default" w:ascii="仿宋" w:hAnsi="仿宋" w:eastAsia="仿宋" w:cs="宋体"/>
                <w:color w:val="auto"/>
                <w:kern w:val="0"/>
                <w:sz w:val="15"/>
                <w:szCs w:val="15"/>
                <w:lang w:val="en-US" w:eastAsia="zh-CN" w:bidi="ar-SA"/>
              </w:rPr>
            </w:pPr>
            <w:r>
              <w:rPr>
                <w:rFonts w:hint="eastAsia" w:ascii="仿宋" w:hAnsi="仿宋" w:eastAsia="仿宋"/>
                <w:color w:val="auto"/>
                <w:sz w:val="15"/>
                <w:szCs w:val="15"/>
                <w:lang w:val="en-US" w:eastAsia="zh-CN"/>
              </w:rPr>
              <w:t>1年</w:t>
            </w:r>
          </w:p>
        </w:tc>
      </w:tr>
    </w:tbl>
    <w:p w14:paraId="4A53D88B">
      <w:pPr>
        <w:widowControl w:val="0"/>
        <w:spacing w:line="360" w:lineRule="auto"/>
        <w:ind w:firstLine="420"/>
        <w:jc w:val="both"/>
        <w:rPr>
          <w:rFonts w:ascii="仿宋" w:hAnsi="仿宋" w:eastAsia="仿宋"/>
          <w:b/>
          <w:color w:val="auto"/>
          <w:kern w:val="2"/>
          <w:sz w:val="21"/>
          <w:szCs w:val="21"/>
          <w:u w:val="single"/>
        </w:rPr>
      </w:pPr>
      <w:r>
        <w:rPr>
          <w:rFonts w:hint="eastAsia" w:ascii="仿宋" w:hAnsi="仿宋" w:eastAsia="仿宋"/>
          <w:b/>
          <w:color w:val="auto"/>
          <w:kern w:val="2"/>
          <w:sz w:val="21"/>
          <w:szCs w:val="21"/>
          <w:u w:val="single"/>
        </w:rPr>
        <w:t>2、水电板块融资情况</w:t>
      </w:r>
    </w:p>
    <w:p w14:paraId="6CC8313F">
      <w:pPr>
        <w:widowControl w:val="0"/>
        <w:spacing w:line="360" w:lineRule="auto"/>
        <w:ind w:firstLine="420"/>
        <w:jc w:val="both"/>
        <w:rPr>
          <w:rFonts w:ascii="仿宋" w:hAnsi="仿宋" w:eastAsia="仿宋"/>
          <w:bCs/>
          <w:color w:val="auto"/>
          <w:kern w:val="2"/>
          <w:sz w:val="21"/>
          <w:szCs w:val="21"/>
        </w:rPr>
      </w:pPr>
      <w:r>
        <w:rPr>
          <w:rFonts w:hint="eastAsia" w:ascii="仿宋" w:hAnsi="仿宋" w:eastAsia="仿宋"/>
          <w:bCs/>
          <w:color w:val="auto"/>
          <w:kern w:val="2"/>
          <w:sz w:val="21"/>
          <w:szCs w:val="21"/>
          <w:lang w:val="en-US" w:eastAsia="zh-CN"/>
        </w:rPr>
        <w:t>新疆通力塔格拉克水电有限公司</w:t>
      </w:r>
      <w:r>
        <w:rPr>
          <w:rFonts w:ascii="仿宋" w:hAnsi="仿宋" w:eastAsia="仿宋"/>
          <w:bCs/>
          <w:color w:val="auto"/>
          <w:kern w:val="2"/>
          <w:sz w:val="21"/>
          <w:szCs w:val="21"/>
        </w:rPr>
        <w:t>在华能天成融资租赁有限公司售后回租融资余额</w:t>
      </w:r>
      <w:r>
        <w:rPr>
          <w:rFonts w:hint="eastAsia" w:ascii="仿宋" w:hAnsi="仿宋" w:eastAsia="仿宋"/>
          <w:bCs/>
          <w:color w:val="auto"/>
          <w:kern w:val="2"/>
          <w:sz w:val="21"/>
          <w:szCs w:val="21"/>
        </w:rPr>
        <w:t>15421</w:t>
      </w:r>
      <w:r>
        <w:rPr>
          <w:rFonts w:hint="eastAsia" w:ascii="仿宋" w:hAnsi="仿宋" w:eastAsia="仿宋"/>
          <w:bCs/>
          <w:color w:val="auto"/>
          <w:kern w:val="2"/>
          <w:sz w:val="21"/>
          <w:szCs w:val="21"/>
          <w:lang w:val="en-US" w:eastAsia="zh-CN"/>
        </w:rPr>
        <w:t>.</w:t>
      </w:r>
      <w:r>
        <w:rPr>
          <w:rFonts w:hint="eastAsia" w:ascii="仿宋" w:hAnsi="仿宋" w:eastAsia="仿宋"/>
          <w:bCs/>
          <w:color w:val="auto"/>
          <w:kern w:val="2"/>
          <w:sz w:val="21"/>
          <w:szCs w:val="21"/>
        </w:rPr>
        <w:t>4</w:t>
      </w:r>
      <w:r>
        <w:rPr>
          <w:rFonts w:hint="eastAsia" w:ascii="仿宋" w:hAnsi="仿宋" w:eastAsia="仿宋"/>
          <w:bCs/>
          <w:color w:val="auto"/>
          <w:kern w:val="2"/>
          <w:sz w:val="21"/>
          <w:szCs w:val="21"/>
          <w:lang w:val="en-US" w:eastAsia="zh-CN"/>
        </w:rPr>
        <w:t>4</w:t>
      </w:r>
      <w:r>
        <w:rPr>
          <w:rFonts w:ascii="仿宋" w:hAnsi="仿宋" w:eastAsia="仿宋"/>
          <w:bCs/>
          <w:color w:val="auto"/>
          <w:kern w:val="2"/>
          <w:sz w:val="21"/>
          <w:szCs w:val="21"/>
        </w:rPr>
        <w:t>万元，期限15年，增信措施是土地、动产、不动产抵押，应收账款质押，股权质押</w:t>
      </w:r>
      <w:r>
        <w:rPr>
          <w:rFonts w:hint="eastAsia" w:ascii="仿宋" w:hAnsi="仿宋" w:eastAsia="仿宋"/>
          <w:bCs/>
          <w:color w:val="auto"/>
          <w:kern w:val="2"/>
          <w:sz w:val="21"/>
          <w:szCs w:val="21"/>
          <w:lang w:val="en-US" w:eastAsia="zh-CN"/>
        </w:rPr>
        <w:t>和实控人夫妇担保</w:t>
      </w:r>
      <w:r>
        <w:rPr>
          <w:rFonts w:ascii="仿宋" w:hAnsi="仿宋" w:eastAsia="仿宋"/>
          <w:bCs/>
          <w:color w:val="auto"/>
          <w:kern w:val="2"/>
          <w:sz w:val="21"/>
          <w:szCs w:val="21"/>
        </w:rPr>
        <w:t>。</w:t>
      </w:r>
    </w:p>
    <w:p w14:paraId="31DB185F">
      <w:pPr>
        <w:widowControl w:val="0"/>
        <w:spacing w:line="360" w:lineRule="auto"/>
        <w:ind w:firstLine="420"/>
        <w:jc w:val="both"/>
        <w:rPr>
          <w:rFonts w:ascii="仿宋" w:hAnsi="仿宋" w:eastAsia="仿宋"/>
          <w:bCs/>
          <w:color w:val="auto"/>
          <w:kern w:val="2"/>
          <w:sz w:val="21"/>
          <w:szCs w:val="21"/>
        </w:rPr>
      </w:pPr>
      <w:r>
        <w:rPr>
          <w:rFonts w:hint="eastAsia" w:ascii="仿宋" w:hAnsi="仿宋" w:eastAsia="仿宋"/>
          <w:bCs/>
          <w:color w:val="auto"/>
          <w:kern w:val="2"/>
          <w:sz w:val="21"/>
          <w:szCs w:val="21"/>
          <w:lang w:val="en-US" w:eastAsia="zh-CN"/>
        </w:rPr>
        <w:t>巴州温和水电开发有限公司</w:t>
      </w:r>
      <w:r>
        <w:rPr>
          <w:rFonts w:ascii="仿宋" w:hAnsi="仿宋" w:eastAsia="仿宋"/>
          <w:bCs/>
          <w:color w:val="auto"/>
          <w:kern w:val="2"/>
          <w:sz w:val="21"/>
          <w:szCs w:val="21"/>
        </w:rPr>
        <w:t>在华能天成融资租赁有限公司售后回租融资余额</w:t>
      </w:r>
      <w:r>
        <w:rPr>
          <w:rFonts w:hint="eastAsia" w:ascii="仿宋" w:hAnsi="仿宋" w:eastAsia="仿宋"/>
          <w:bCs/>
          <w:color w:val="auto"/>
          <w:kern w:val="2"/>
          <w:sz w:val="21"/>
          <w:szCs w:val="21"/>
        </w:rPr>
        <w:t>15120</w:t>
      </w:r>
      <w:r>
        <w:rPr>
          <w:rFonts w:hint="eastAsia" w:ascii="仿宋" w:hAnsi="仿宋" w:eastAsia="仿宋"/>
          <w:bCs/>
          <w:color w:val="auto"/>
          <w:kern w:val="2"/>
          <w:sz w:val="21"/>
          <w:szCs w:val="21"/>
          <w:lang w:val="en-US" w:eastAsia="zh-CN"/>
        </w:rPr>
        <w:t>.</w:t>
      </w:r>
      <w:r>
        <w:rPr>
          <w:rFonts w:hint="eastAsia" w:ascii="仿宋" w:hAnsi="仿宋" w:eastAsia="仿宋"/>
          <w:bCs/>
          <w:color w:val="auto"/>
          <w:kern w:val="2"/>
          <w:sz w:val="21"/>
          <w:szCs w:val="21"/>
        </w:rPr>
        <w:t>6</w:t>
      </w:r>
      <w:r>
        <w:rPr>
          <w:rFonts w:hint="eastAsia" w:ascii="仿宋" w:hAnsi="仿宋" w:eastAsia="仿宋"/>
          <w:bCs/>
          <w:color w:val="auto"/>
          <w:kern w:val="2"/>
          <w:sz w:val="21"/>
          <w:szCs w:val="21"/>
          <w:lang w:val="en-US" w:eastAsia="zh-CN"/>
        </w:rPr>
        <w:t>9</w:t>
      </w:r>
      <w:r>
        <w:rPr>
          <w:rFonts w:ascii="仿宋" w:hAnsi="仿宋" w:eastAsia="仿宋"/>
          <w:bCs/>
          <w:color w:val="auto"/>
          <w:kern w:val="2"/>
          <w:sz w:val="21"/>
          <w:szCs w:val="21"/>
        </w:rPr>
        <w:t>万元，期限15年，增信措施是土地、动产、不动产抵押，应收账款质押，股权质押</w:t>
      </w:r>
      <w:r>
        <w:rPr>
          <w:rFonts w:hint="eastAsia" w:ascii="仿宋" w:hAnsi="仿宋" w:eastAsia="仿宋"/>
          <w:bCs/>
          <w:color w:val="auto"/>
          <w:kern w:val="2"/>
          <w:sz w:val="21"/>
          <w:szCs w:val="21"/>
          <w:lang w:val="en-US" w:eastAsia="zh-CN"/>
        </w:rPr>
        <w:t>和实控人夫妇担保</w:t>
      </w:r>
      <w:r>
        <w:rPr>
          <w:rFonts w:ascii="仿宋" w:hAnsi="仿宋" w:eastAsia="仿宋"/>
          <w:bCs/>
          <w:color w:val="auto"/>
          <w:kern w:val="2"/>
          <w:sz w:val="21"/>
          <w:szCs w:val="21"/>
        </w:rPr>
        <w:t>。</w:t>
      </w:r>
    </w:p>
    <w:p w14:paraId="0D46E1D7">
      <w:pPr>
        <w:widowControl w:val="0"/>
        <w:spacing w:line="360" w:lineRule="auto"/>
        <w:ind w:firstLine="420"/>
        <w:jc w:val="both"/>
        <w:rPr>
          <w:rFonts w:ascii="仿宋" w:hAnsi="仿宋" w:eastAsia="仿宋"/>
          <w:bCs/>
          <w:color w:val="auto"/>
          <w:kern w:val="2"/>
          <w:sz w:val="21"/>
          <w:szCs w:val="21"/>
        </w:rPr>
      </w:pPr>
      <w:r>
        <w:rPr>
          <w:rFonts w:hint="eastAsia" w:ascii="仿宋" w:hAnsi="仿宋" w:eastAsia="仿宋"/>
          <w:bCs/>
          <w:color w:val="auto"/>
          <w:kern w:val="2"/>
          <w:sz w:val="21"/>
          <w:szCs w:val="21"/>
          <w:lang w:val="en-US" w:eastAsia="zh-CN"/>
        </w:rPr>
        <w:t>新疆鸿昌能源投资有限公司</w:t>
      </w:r>
      <w:r>
        <w:rPr>
          <w:rFonts w:ascii="仿宋" w:hAnsi="仿宋" w:eastAsia="仿宋"/>
          <w:bCs/>
          <w:color w:val="auto"/>
          <w:kern w:val="2"/>
          <w:sz w:val="21"/>
          <w:szCs w:val="21"/>
        </w:rPr>
        <w:t>在华能天成融资租赁有限公司售后回租融资余额</w:t>
      </w:r>
      <w:r>
        <w:rPr>
          <w:rFonts w:hint="eastAsia" w:ascii="仿宋" w:hAnsi="仿宋" w:eastAsia="仿宋"/>
          <w:bCs/>
          <w:color w:val="auto"/>
          <w:kern w:val="2"/>
          <w:sz w:val="21"/>
          <w:szCs w:val="21"/>
        </w:rPr>
        <w:t>19403</w:t>
      </w:r>
      <w:r>
        <w:rPr>
          <w:rFonts w:hint="eastAsia" w:ascii="仿宋" w:hAnsi="仿宋" w:eastAsia="仿宋"/>
          <w:bCs/>
          <w:color w:val="auto"/>
          <w:kern w:val="2"/>
          <w:sz w:val="21"/>
          <w:szCs w:val="21"/>
          <w:lang w:val="en-US" w:eastAsia="zh-CN"/>
        </w:rPr>
        <w:t>.</w:t>
      </w:r>
      <w:r>
        <w:rPr>
          <w:rFonts w:hint="eastAsia" w:ascii="仿宋" w:hAnsi="仿宋" w:eastAsia="仿宋"/>
          <w:bCs/>
          <w:color w:val="auto"/>
          <w:kern w:val="2"/>
          <w:sz w:val="21"/>
          <w:szCs w:val="21"/>
        </w:rPr>
        <w:t>06</w:t>
      </w:r>
      <w:r>
        <w:rPr>
          <w:rFonts w:ascii="仿宋" w:hAnsi="仿宋" w:eastAsia="仿宋"/>
          <w:bCs/>
          <w:color w:val="auto"/>
          <w:kern w:val="2"/>
          <w:sz w:val="21"/>
          <w:szCs w:val="21"/>
        </w:rPr>
        <w:t>万元，期限15年，增信措施是土地、动产、不动产抵押，应收账款质押，股权质押</w:t>
      </w:r>
      <w:r>
        <w:rPr>
          <w:rFonts w:hint="eastAsia" w:ascii="仿宋" w:hAnsi="仿宋" w:eastAsia="仿宋"/>
          <w:bCs/>
          <w:color w:val="auto"/>
          <w:kern w:val="2"/>
          <w:sz w:val="21"/>
          <w:szCs w:val="21"/>
          <w:lang w:val="en-US" w:eastAsia="zh-CN"/>
        </w:rPr>
        <w:t>和实控人夫妇担保</w:t>
      </w:r>
      <w:r>
        <w:rPr>
          <w:rFonts w:ascii="仿宋" w:hAnsi="仿宋" w:eastAsia="仿宋"/>
          <w:bCs/>
          <w:color w:val="auto"/>
          <w:kern w:val="2"/>
          <w:sz w:val="21"/>
          <w:szCs w:val="21"/>
        </w:rPr>
        <w:t>。</w:t>
      </w:r>
    </w:p>
    <w:p w14:paraId="4D2F1D54">
      <w:pPr>
        <w:widowControl w:val="0"/>
        <w:numPr>
          <w:ilvl w:val="0"/>
          <w:numId w:val="1"/>
        </w:numPr>
        <w:spacing w:line="360" w:lineRule="auto"/>
        <w:ind w:firstLine="420"/>
        <w:jc w:val="both"/>
        <w:rPr>
          <w:rFonts w:hint="eastAsia" w:ascii="仿宋" w:hAnsi="仿宋" w:eastAsia="仿宋" w:cs="仿宋"/>
          <w:b/>
          <w:kern w:val="2"/>
          <w:sz w:val="21"/>
          <w:szCs w:val="21"/>
          <w:highlight w:val="none"/>
          <w:u w:val="single"/>
        </w:rPr>
      </w:pPr>
      <w:r>
        <w:rPr>
          <w:rFonts w:hint="eastAsia" w:ascii="仿宋" w:hAnsi="仿宋" w:eastAsia="仿宋" w:cs="仿宋"/>
          <w:b/>
          <w:kern w:val="2"/>
          <w:sz w:val="21"/>
          <w:szCs w:val="21"/>
          <w:highlight w:val="none"/>
          <w:u w:val="single"/>
          <w:lang w:val="en-US" w:eastAsia="zh-CN"/>
        </w:rPr>
        <w:t xml:space="preserve"> 房屋建筑公司</w:t>
      </w:r>
      <w:r>
        <w:rPr>
          <w:rFonts w:hint="eastAsia" w:ascii="仿宋" w:hAnsi="仿宋" w:eastAsia="仿宋" w:cs="仿宋"/>
          <w:b/>
          <w:kern w:val="2"/>
          <w:sz w:val="21"/>
          <w:szCs w:val="21"/>
          <w:highlight w:val="none"/>
          <w:u w:val="single"/>
        </w:rPr>
        <w:t>情况</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1701"/>
        <w:gridCol w:w="1701"/>
        <w:gridCol w:w="1418"/>
        <w:gridCol w:w="1893"/>
      </w:tblGrid>
      <w:tr w14:paraId="462B2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vAlign w:val="center"/>
          </w:tcPr>
          <w:p w14:paraId="3F11CEE0">
            <w:pPr>
              <w:jc w:val="center"/>
              <w:rPr>
                <w:rFonts w:hint="eastAsia" w:ascii="仿宋" w:hAnsi="仿宋" w:eastAsia="仿宋" w:cs="仿宋"/>
                <w:b/>
                <w:sz w:val="21"/>
                <w:szCs w:val="21"/>
                <w:highlight w:val="none"/>
              </w:rPr>
            </w:pPr>
            <w:r>
              <w:rPr>
                <w:rFonts w:hint="eastAsia" w:ascii="仿宋" w:hAnsi="仿宋" w:eastAsia="仿宋" w:cs="仿宋"/>
                <w:b/>
                <w:sz w:val="21"/>
                <w:szCs w:val="21"/>
                <w:highlight w:val="none"/>
              </w:rPr>
              <w:t>基本信息（房屋建筑）</w:t>
            </w:r>
          </w:p>
        </w:tc>
      </w:tr>
      <w:tr w14:paraId="0BFA9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328A340A">
            <w:pPr>
              <w:jc w:val="center"/>
              <w:rPr>
                <w:rFonts w:hint="eastAsia" w:ascii="仿宋" w:hAnsi="仿宋" w:eastAsia="仿宋" w:cs="仿宋"/>
                <w:b/>
                <w:sz w:val="21"/>
                <w:szCs w:val="21"/>
                <w:highlight w:val="none"/>
              </w:rPr>
            </w:pPr>
            <w:r>
              <w:rPr>
                <w:rFonts w:hint="eastAsia" w:ascii="仿宋" w:hAnsi="仿宋" w:eastAsia="仿宋" w:cs="仿宋"/>
                <w:b/>
                <w:sz w:val="21"/>
                <w:szCs w:val="21"/>
                <w:highlight w:val="none"/>
              </w:rPr>
              <w:t>承租人名称：</w:t>
            </w:r>
          </w:p>
        </w:tc>
        <w:tc>
          <w:tcPr>
            <w:tcW w:w="3402" w:type="dxa"/>
            <w:gridSpan w:val="2"/>
            <w:vAlign w:val="center"/>
          </w:tcPr>
          <w:p w14:paraId="427CE60C">
            <w:pPr>
              <w:jc w:val="cente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新疆通力建设集团股份有限公司</w:t>
            </w:r>
          </w:p>
        </w:tc>
        <w:tc>
          <w:tcPr>
            <w:tcW w:w="1418" w:type="dxa"/>
            <w:vAlign w:val="center"/>
          </w:tcPr>
          <w:p w14:paraId="6C6EC785">
            <w:pPr>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归属集团</w:t>
            </w:r>
          </w:p>
        </w:tc>
        <w:tc>
          <w:tcPr>
            <w:tcW w:w="1893" w:type="dxa"/>
            <w:vAlign w:val="center"/>
          </w:tcPr>
          <w:p w14:paraId="35A7FB98">
            <w:pPr>
              <w:jc w:val="cente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新疆宝发农资集团有限公司</w:t>
            </w:r>
          </w:p>
        </w:tc>
      </w:tr>
      <w:tr w14:paraId="6E847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0151F2BD">
            <w:pPr>
              <w:jc w:val="center"/>
              <w:rPr>
                <w:rFonts w:hint="eastAsia" w:ascii="仿宋" w:hAnsi="仿宋" w:eastAsia="仿宋" w:cs="仿宋"/>
                <w:b/>
                <w:sz w:val="21"/>
                <w:szCs w:val="21"/>
                <w:highlight w:val="none"/>
              </w:rPr>
            </w:pPr>
            <w:r>
              <w:rPr>
                <w:rFonts w:hint="eastAsia" w:ascii="仿宋" w:hAnsi="仿宋" w:eastAsia="仿宋" w:cs="仿宋"/>
                <w:b/>
                <w:sz w:val="21"/>
                <w:szCs w:val="21"/>
                <w:highlight w:val="none"/>
              </w:rPr>
              <w:t>注册地址：</w:t>
            </w:r>
          </w:p>
        </w:tc>
        <w:tc>
          <w:tcPr>
            <w:tcW w:w="6713" w:type="dxa"/>
            <w:gridSpan w:val="4"/>
            <w:vAlign w:val="center"/>
          </w:tcPr>
          <w:p w14:paraId="18BEC16B">
            <w:pPr>
              <w:jc w:val="center"/>
              <w:rPr>
                <w:rFonts w:hint="eastAsia" w:ascii="仿宋" w:hAnsi="仿宋" w:eastAsia="仿宋" w:cs="仿宋"/>
                <w:sz w:val="21"/>
                <w:szCs w:val="21"/>
                <w:highlight w:val="none"/>
              </w:rPr>
            </w:pPr>
            <w:r>
              <w:rPr>
                <w:rFonts w:hint="eastAsia" w:ascii="仿宋" w:hAnsi="仿宋" w:eastAsia="仿宋" w:cs="仿宋"/>
                <w:i w:val="0"/>
                <w:iCs w:val="0"/>
                <w:caps w:val="0"/>
                <w:color w:val="333333"/>
                <w:spacing w:val="0"/>
                <w:sz w:val="21"/>
                <w:szCs w:val="21"/>
                <w:highlight w:val="none"/>
                <w:shd w:val="clear" w:fill="F6F6F6"/>
              </w:rPr>
              <w:t>新疆库尔勒市人民东路通力大厦</w:t>
            </w:r>
          </w:p>
        </w:tc>
      </w:tr>
      <w:tr w14:paraId="74D6C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49458878">
            <w:pPr>
              <w:jc w:val="center"/>
              <w:rPr>
                <w:rFonts w:hint="eastAsia" w:ascii="仿宋" w:hAnsi="仿宋" w:eastAsia="仿宋" w:cs="仿宋"/>
                <w:b/>
                <w:sz w:val="21"/>
                <w:szCs w:val="21"/>
                <w:highlight w:val="none"/>
              </w:rPr>
            </w:pPr>
            <w:r>
              <w:rPr>
                <w:rFonts w:hint="eastAsia" w:ascii="仿宋" w:hAnsi="仿宋" w:eastAsia="仿宋" w:cs="仿宋"/>
                <w:b/>
                <w:sz w:val="21"/>
                <w:szCs w:val="21"/>
                <w:highlight w:val="none"/>
              </w:rPr>
              <w:t>通讯地址：</w:t>
            </w:r>
          </w:p>
        </w:tc>
        <w:tc>
          <w:tcPr>
            <w:tcW w:w="6713" w:type="dxa"/>
            <w:gridSpan w:val="4"/>
            <w:vAlign w:val="center"/>
          </w:tcPr>
          <w:p w14:paraId="0BE3B7A0">
            <w:pPr>
              <w:jc w:val="center"/>
              <w:rPr>
                <w:rFonts w:hint="eastAsia" w:ascii="仿宋" w:hAnsi="仿宋" w:eastAsia="仿宋" w:cs="仿宋"/>
                <w:sz w:val="21"/>
                <w:szCs w:val="21"/>
                <w:highlight w:val="none"/>
                <w:lang w:val="en-US" w:eastAsia="zh-CN"/>
              </w:rPr>
            </w:pPr>
            <w:r>
              <w:rPr>
                <w:rFonts w:hint="eastAsia" w:ascii="仿宋" w:hAnsi="仿宋" w:eastAsia="仿宋" w:cs="仿宋"/>
                <w:i w:val="0"/>
                <w:iCs w:val="0"/>
                <w:caps w:val="0"/>
                <w:color w:val="333333"/>
                <w:spacing w:val="0"/>
                <w:sz w:val="21"/>
                <w:szCs w:val="21"/>
                <w:highlight w:val="none"/>
                <w:shd w:val="clear" w:fill="F6F6F6"/>
              </w:rPr>
              <w:t>新疆</w:t>
            </w:r>
            <w:r>
              <w:rPr>
                <w:rFonts w:hint="eastAsia" w:ascii="仿宋" w:hAnsi="仿宋" w:eastAsia="仿宋" w:cs="仿宋"/>
                <w:i w:val="0"/>
                <w:iCs w:val="0"/>
                <w:caps w:val="0"/>
                <w:color w:val="333333"/>
                <w:spacing w:val="0"/>
                <w:sz w:val="21"/>
                <w:szCs w:val="21"/>
                <w:highlight w:val="none"/>
                <w:shd w:val="clear" w:fill="F6F6F6"/>
                <w:lang w:val="en-US" w:eastAsia="zh-CN"/>
              </w:rPr>
              <w:t>乌鲁木齐市北京中路元盛祥符</w:t>
            </w:r>
          </w:p>
        </w:tc>
      </w:tr>
      <w:tr w14:paraId="04E76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6DE1F2AF">
            <w:pPr>
              <w:jc w:val="center"/>
              <w:rPr>
                <w:rFonts w:hint="eastAsia" w:ascii="仿宋" w:hAnsi="仿宋" w:eastAsia="仿宋" w:cs="仿宋"/>
                <w:b/>
                <w:sz w:val="21"/>
                <w:szCs w:val="21"/>
                <w:highlight w:val="none"/>
              </w:rPr>
            </w:pPr>
            <w:r>
              <w:rPr>
                <w:rFonts w:hint="eastAsia" w:ascii="仿宋" w:hAnsi="仿宋" w:eastAsia="仿宋" w:cs="仿宋"/>
                <w:b/>
                <w:sz w:val="21"/>
                <w:szCs w:val="21"/>
                <w:highlight w:val="none"/>
              </w:rPr>
              <w:t>成立时间：</w:t>
            </w:r>
          </w:p>
        </w:tc>
        <w:tc>
          <w:tcPr>
            <w:tcW w:w="3402" w:type="dxa"/>
            <w:gridSpan w:val="2"/>
            <w:vAlign w:val="center"/>
          </w:tcPr>
          <w:p w14:paraId="16325697">
            <w:pPr>
              <w:jc w:val="cente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2024年6月11日</w:t>
            </w:r>
          </w:p>
        </w:tc>
        <w:tc>
          <w:tcPr>
            <w:tcW w:w="1418" w:type="dxa"/>
            <w:vAlign w:val="center"/>
          </w:tcPr>
          <w:p w14:paraId="2990B8FD">
            <w:pPr>
              <w:jc w:val="center"/>
              <w:rPr>
                <w:rFonts w:hint="eastAsia" w:ascii="仿宋" w:hAnsi="仿宋" w:eastAsia="仿宋" w:cs="仿宋"/>
                <w:b/>
                <w:sz w:val="21"/>
                <w:szCs w:val="21"/>
                <w:highlight w:val="none"/>
              </w:rPr>
            </w:pPr>
            <w:r>
              <w:rPr>
                <w:rFonts w:hint="eastAsia" w:ascii="仿宋" w:hAnsi="仿宋" w:eastAsia="仿宋" w:cs="仿宋"/>
                <w:b/>
                <w:sz w:val="21"/>
                <w:szCs w:val="21"/>
                <w:highlight w:val="none"/>
              </w:rPr>
              <w:t>公司性质：</w:t>
            </w:r>
          </w:p>
        </w:tc>
        <w:tc>
          <w:tcPr>
            <w:tcW w:w="1893" w:type="dxa"/>
            <w:vAlign w:val="center"/>
          </w:tcPr>
          <w:p w14:paraId="05FFFDB3">
            <w:pPr>
              <w:jc w:val="cente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民营</w:t>
            </w:r>
          </w:p>
        </w:tc>
      </w:tr>
      <w:tr w14:paraId="62437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652F79A4">
            <w:pPr>
              <w:jc w:val="center"/>
              <w:rPr>
                <w:rFonts w:hint="eastAsia" w:ascii="仿宋" w:hAnsi="仿宋" w:eastAsia="仿宋" w:cs="仿宋"/>
                <w:b/>
                <w:sz w:val="21"/>
                <w:szCs w:val="21"/>
                <w:highlight w:val="none"/>
              </w:rPr>
            </w:pPr>
            <w:r>
              <w:rPr>
                <w:rFonts w:hint="eastAsia" w:ascii="仿宋" w:hAnsi="仿宋" w:eastAsia="仿宋" w:cs="仿宋"/>
                <w:b/>
                <w:sz w:val="21"/>
                <w:szCs w:val="21"/>
                <w:highlight w:val="none"/>
              </w:rPr>
              <w:t>注册资本</w:t>
            </w:r>
          </w:p>
        </w:tc>
        <w:tc>
          <w:tcPr>
            <w:tcW w:w="3402" w:type="dxa"/>
            <w:gridSpan w:val="2"/>
            <w:vAlign w:val="center"/>
          </w:tcPr>
          <w:p w14:paraId="1932A378">
            <w:pPr>
              <w:jc w:val="cente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10000万人民币</w:t>
            </w:r>
          </w:p>
        </w:tc>
        <w:tc>
          <w:tcPr>
            <w:tcW w:w="1418" w:type="dxa"/>
            <w:vAlign w:val="center"/>
          </w:tcPr>
          <w:p w14:paraId="12608D0E">
            <w:pPr>
              <w:jc w:val="center"/>
              <w:rPr>
                <w:rFonts w:hint="eastAsia" w:ascii="仿宋" w:hAnsi="仿宋" w:eastAsia="仿宋" w:cs="仿宋"/>
                <w:b/>
                <w:sz w:val="21"/>
                <w:szCs w:val="21"/>
                <w:highlight w:val="none"/>
              </w:rPr>
            </w:pPr>
            <w:r>
              <w:rPr>
                <w:rFonts w:hint="eastAsia" w:ascii="仿宋" w:hAnsi="仿宋" w:eastAsia="仿宋" w:cs="仿宋"/>
                <w:b/>
                <w:sz w:val="21"/>
                <w:szCs w:val="21"/>
                <w:highlight w:val="none"/>
              </w:rPr>
              <w:t>实收资本</w:t>
            </w:r>
          </w:p>
        </w:tc>
        <w:tc>
          <w:tcPr>
            <w:tcW w:w="1893" w:type="dxa"/>
            <w:vAlign w:val="center"/>
          </w:tcPr>
          <w:p w14:paraId="27A17D83">
            <w:pPr>
              <w:jc w:val="center"/>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10000万人民币</w:t>
            </w:r>
          </w:p>
        </w:tc>
      </w:tr>
      <w:tr w14:paraId="314AB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2A0D0F97">
            <w:pPr>
              <w:jc w:val="center"/>
              <w:rPr>
                <w:rFonts w:hint="eastAsia" w:ascii="仿宋" w:hAnsi="仿宋" w:eastAsia="仿宋" w:cs="仿宋"/>
                <w:b/>
                <w:sz w:val="21"/>
                <w:szCs w:val="21"/>
                <w:highlight w:val="none"/>
              </w:rPr>
            </w:pPr>
            <w:r>
              <w:rPr>
                <w:rFonts w:hint="eastAsia" w:ascii="仿宋" w:hAnsi="仿宋" w:eastAsia="仿宋" w:cs="仿宋"/>
                <w:b/>
                <w:sz w:val="21"/>
                <w:szCs w:val="21"/>
                <w:highlight w:val="none"/>
              </w:rPr>
              <w:t>法定代表人：</w:t>
            </w:r>
          </w:p>
        </w:tc>
        <w:tc>
          <w:tcPr>
            <w:tcW w:w="3402" w:type="dxa"/>
            <w:gridSpan w:val="2"/>
            <w:vAlign w:val="center"/>
          </w:tcPr>
          <w:p w14:paraId="40ADA3A7">
            <w:pPr>
              <w:jc w:val="cente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许宗奎</w:t>
            </w:r>
          </w:p>
        </w:tc>
        <w:tc>
          <w:tcPr>
            <w:tcW w:w="1418" w:type="dxa"/>
            <w:vAlign w:val="center"/>
          </w:tcPr>
          <w:p w14:paraId="34469131">
            <w:pPr>
              <w:jc w:val="center"/>
              <w:rPr>
                <w:rFonts w:hint="eastAsia" w:ascii="仿宋" w:hAnsi="仿宋" w:eastAsia="仿宋" w:cs="仿宋"/>
                <w:b/>
                <w:sz w:val="21"/>
                <w:szCs w:val="21"/>
                <w:highlight w:val="none"/>
              </w:rPr>
            </w:pPr>
            <w:r>
              <w:rPr>
                <w:rFonts w:hint="eastAsia" w:ascii="仿宋" w:hAnsi="仿宋" w:eastAsia="仿宋" w:cs="仿宋"/>
                <w:b/>
                <w:sz w:val="21"/>
                <w:szCs w:val="21"/>
                <w:highlight w:val="none"/>
              </w:rPr>
              <w:t>实际控制人：</w:t>
            </w:r>
          </w:p>
        </w:tc>
        <w:tc>
          <w:tcPr>
            <w:tcW w:w="1893" w:type="dxa"/>
            <w:vAlign w:val="center"/>
          </w:tcPr>
          <w:p w14:paraId="359EE9A0">
            <w:pPr>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张璐燕、许宗奎</w:t>
            </w:r>
          </w:p>
        </w:tc>
      </w:tr>
      <w:tr w14:paraId="25554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4A4ADD9A">
            <w:pPr>
              <w:jc w:val="center"/>
              <w:rPr>
                <w:rFonts w:hint="eastAsia" w:ascii="仿宋" w:hAnsi="仿宋" w:eastAsia="仿宋" w:cs="仿宋"/>
                <w:b/>
                <w:sz w:val="21"/>
                <w:szCs w:val="21"/>
                <w:highlight w:val="none"/>
              </w:rPr>
            </w:pPr>
            <w:r>
              <w:rPr>
                <w:rFonts w:hint="eastAsia" w:ascii="仿宋" w:hAnsi="仿宋" w:eastAsia="仿宋" w:cs="仿宋"/>
                <w:b/>
                <w:sz w:val="21"/>
                <w:szCs w:val="21"/>
                <w:highlight w:val="none"/>
              </w:rPr>
              <w:t>所属行业：</w:t>
            </w:r>
          </w:p>
        </w:tc>
        <w:tc>
          <w:tcPr>
            <w:tcW w:w="6713" w:type="dxa"/>
            <w:gridSpan w:val="4"/>
            <w:vAlign w:val="center"/>
          </w:tcPr>
          <w:p w14:paraId="68AF7386">
            <w:pPr>
              <w:jc w:val="center"/>
              <w:rPr>
                <w:rFonts w:hint="eastAsia" w:ascii="仿宋" w:hAnsi="仿宋" w:eastAsia="仿宋" w:cs="仿宋"/>
                <w:sz w:val="21"/>
                <w:szCs w:val="21"/>
                <w:highlight w:val="none"/>
                <w:lang w:val="en-US" w:eastAsia="zh-CN"/>
              </w:rPr>
            </w:pPr>
            <w:r>
              <w:rPr>
                <w:rFonts w:hint="eastAsia" w:ascii="仿宋" w:hAnsi="仿宋" w:eastAsia="仿宋" w:cs="仿宋"/>
                <w:i w:val="0"/>
                <w:iCs w:val="0"/>
                <w:caps w:val="0"/>
                <w:spacing w:val="0"/>
                <w:sz w:val="21"/>
                <w:szCs w:val="21"/>
                <w:highlight w:val="none"/>
                <w:shd w:val="clear" w:fill="FFFFFF"/>
              </w:rPr>
              <w:t>房屋建筑业</w:t>
            </w:r>
          </w:p>
        </w:tc>
      </w:tr>
      <w:tr w14:paraId="1D5B6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vAlign w:val="center"/>
          </w:tcPr>
          <w:p w14:paraId="54A1D003">
            <w:pPr>
              <w:jc w:val="center"/>
              <w:rPr>
                <w:rFonts w:hint="eastAsia" w:ascii="仿宋" w:hAnsi="仿宋" w:eastAsia="仿宋" w:cs="仿宋"/>
                <w:b/>
                <w:sz w:val="21"/>
                <w:szCs w:val="21"/>
                <w:highlight w:val="none"/>
              </w:rPr>
            </w:pPr>
            <w:r>
              <w:rPr>
                <w:rFonts w:hint="eastAsia" w:ascii="仿宋" w:hAnsi="仿宋" w:eastAsia="仿宋" w:cs="仿宋"/>
                <w:b/>
                <w:sz w:val="21"/>
                <w:szCs w:val="21"/>
                <w:highlight w:val="none"/>
              </w:rPr>
              <w:t>股东情况（以注册资本为标准）</w:t>
            </w:r>
          </w:p>
        </w:tc>
      </w:tr>
      <w:tr w14:paraId="0B88B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7EF0B4C2">
            <w:pPr>
              <w:jc w:val="center"/>
              <w:rPr>
                <w:rFonts w:hint="eastAsia" w:ascii="仿宋" w:hAnsi="仿宋" w:eastAsia="仿宋" w:cs="仿宋"/>
                <w:b/>
                <w:sz w:val="21"/>
                <w:szCs w:val="21"/>
                <w:highlight w:val="none"/>
              </w:rPr>
            </w:pPr>
            <w:r>
              <w:rPr>
                <w:rFonts w:hint="eastAsia" w:ascii="仿宋" w:hAnsi="仿宋" w:eastAsia="仿宋" w:cs="仿宋"/>
                <w:b/>
                <w:sz w:val="21"/>
                <w:szCs w:val="21"/>
                <w:highlight w:val="none"/>
              </w:rPr>
              <w:t>股东名称</w:t>
            </w:r>
          </w:p>
        </w:tc>
        <w:tc>
          <w:tcPr>
            <w:tcW w:w="1701" w:type="dxa"/>
            <w:vAlign w:val="center"/>
          </w:tcPr>
          <w:p w14:paraId="32D3B571">
            <w:pPr>
              <w:jc w:val="center"/>
              <w:rPr>
                <w:rFonts w:hint="eastAsia" w:ascii="仿宋" w:hAnsi="仿宋" w:eastAsia="仿宋" w:cs="仿宋"/>
                <w:b/>
                <w:sz w:val="21"/>
                <w:szCs w:val="21"/>
                <w:highlight w:val="none"/>
              </w:rPr>
            </w:pPr>
            <w:r>
              <w:rPr>
                <w:rFonts w:hint="eastAsia" w:ascii="仿宋" w:hAnsi="仿宋" w:eastAsia="仿宋" w:cs="仿宋"/>
                <w:b/>
                <w:sz w:val="21"/>
                <w:szCs w:val="21"/>
                <w:highlight w:val="none"/>
              </w:rPr>
              <w:t>出资额</w:t>
            </w:r>
          </w:p>
        </w:tc>
        <w:tc>
          <w:tcPr>
            <w:tcW w:w="1701" w:type="dxa"/>
            <w:vAlign w:val="center"/>
          </w:tcPr>
          <w:p w14:paraId="4B4739E9">
            <w:pPr>
              <w:jc w:val="center"/>
              <w:rPr>
                <w:rFonts w:hint="eastAsia" w:ascii="仿宋" w:hAnsi="仿宋" w:eastAsia="仿宋" w:cs="仿宋"/>
                <w:b/>
                <w:sz w:val="21"/>
                <w:szCs w:val="21"/>
                <w:highlight w:val="none"/>
              </w:rPr>
            </w:pPr>
            <w:r>
              <w:rPr>
                <w:rFonts w:hint="eastAsia" w:ascii="仿宋" w:hAnsi="仿宋" w:eastAsia="仿宋" w:cs="仿宋"/>
                <w:b/>
                <w:sz w:val="21"/>
                <w:szCs w:val="21"/>
                <w:highlight w:val="none"/>
              </w:rPr>
              <w:t>持股比例</w:t>
            </w:r>
          </w:p>
        </w:tc>
        <w:tc>
          <w:tcPr>
            <w:tcW w:w="3311" w:type="dxa"/>
            <w:gridSpan w:val="2"/>
            <w:vAlign w:val="center"/>
          </w:tcPr>
          <w:p w14:paraId="6D7ABC70">
            <w:pPr>
              <w:jc w:val="center"/>
              <w:rPr>
                <w:rFonts w:hint="eastAsia" w:ascii="仿宋" w:hAnsi="仿宋" w:eastAsia="仿宋" w:cs="仿宋"/>
                <w:b/>
                <w:sz w:val="21"/>
                <w:szCs w:val="21"/>
                <w:highlight w:val="none"/>
              </w:rPr>
            </w:pPr>
            <w:r>
              <w:rPr>
                <w:rFonts w:hint="eastAsia" w:ascii="仿宋" w:hAnsi="仿宋" w:eastAsia="仿宋" w:cs="仿宋"/>
                <w:b/>
                <w:sz w:val="21"/>
                <w:szCs w:val="21"/>
                <w:highlight w:val="none"/>
              </w:rPr>
              <w:t>企业情况</w:t>
            </w:r>
          </w:p>
        </w:tc>
      </w:tr>
      <w:tr w14:paraId="5C2EC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1D4AF8BB">
            <w:pPr>
              <w:jc w:val="center"/>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新疆宝发农资集团有限公司</w:t>
            </w:r>
          </w:p>
        </w:tc>
        <w:tc>
          <w:tcPr>
            <w:tcW w:w="1701" w:type="dxa"/>
            <w:vAlign w:val="center"/>
          </w:tcPr>
          <w:p w14:paraId="503076FE">
            <w:pPr>
              <w:jc w:val="center"/>
              <w:rPr>
                <w:rFonts w:hint="eastAsia" w:ascii="仿宋" w:hAnsi="仿宋" w:eastAsia="仿宋" w:cs="仿宋"/>
                <w:sz w:val="21"/>
                <w:szCs w:val="21"/>
                <w:highlight w:val="none"/>
                <w:lang w:val="en-US" w:eastAsia="zh-CN"/>
              </w:rPr>
            </w:pPr>
            <w:r>
              <w:rPr>
                <w:rFonts w:hint="eastAsia" w:ascii="仿宋" w:hAnsi="仿宋" w:eastAsia="仿宋" w:cs="仿宋"/>
                <w:i w:val="0"/>
                <w:iCs w:val="0"/>
                <w:caps w:val="0"/>
                <w:color w:val="333333"/>
                <w:spacing w:val="0"/>
                <w:sz w:val="21"/>
                <w:szCs w:val="21"/>
                <w:highlight w:val="none"/>
                <w:shd w:val="clear" w:fill="FFFFFF"/>
              </w:rPr>
              <w:t>5200</w:t>
            </w:r>
            <w:r>
              <w:rPr>
                <w:rFonts w:hint="eastAsia" w:ascii="仿宋" w:hAnsi="仿宋" w:eastAsia="仿宋" w:cs="仿宋"/>
                <w:i w:val="0"/>
                <w:iCs w:val="0"/>
                <w:caps w:val="0"/>
                <w:color w:val="333333"/>
                <w:spacing w:val="0"/>
                <w:sz w:val="21"/>
                <w:szCs w:val="21"/>
                <w:highlight w:val="none"/>
                <w:shd w:val="clear" w:fill="FFFFFF"/>
                <w:lang w:val="en-US" w:eastAsia="zh-CN"/>
              </w:rPr>
              <w:t>万元</w:t>
            </w:r>
          </w:p>
        </w:tc>
        <w:tc>
          <w:tcPr>
            <w:tcW w:w="1701" w:type="dxa"/>
            <w:vAlign w:val="center"/>
          </w:tcPr>
          <w:p w14:paraId="7FE1C4B6">
            <w:pPr>
              <w:jc w:val="cente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52%</w:t>
            </w:r>
          </w:p>
        </w:tc>
        <w:tc>
          <w:tcPr>
            <w:tcW w:w="3311" w:type="dxa"/>
            <w:gridSpan w:val="2"/>
            <w:vAlign w:val="center"/>
          </w:tcPr>
          <w:p w14:paraId="037B7E41">
            <w:pPr>
              <w:jc w:val="center"/>
              <w:rPr>
                <w:rFonts w:hint="eastAsia" w:ascii="仿宋" w:hAnsi="仿宋" w:eastAsia="仿宋" w:cs="仿宋"/>
                <w:sz w:val="21"/>
                <w:szCs w:val="21"/>
                <w:highlight w:val="none"/>
              </w:rPr>
            </w:pPr>
            <w:r>
              <w:rPr>
                <w:rFonts w:hint="eastAsia" w:ascii="仿宋" w:hAnsi="仿宋" w:eastAsia="仿宋" w:cs="仿宋"/>
                <w:i w:val="0"/>
                <w:iCs w:val="0"/>
                <w:caps w:val="0"/>
                <w:color w:val="079C49"/>
                <w:spacing w:val="0"/>
                <w:sz w:val="21"/>
                <w:szCs w:val="21"/>
                <w:highlight w:val="none"/>
                <w:shd w:val="clear" w:fill="FFFFFF"/>
              </w:rPr>
              <w:t>存续</w:t>
            </w:r>
          </w:p>
        </w:tc>
      </w:tr>
      <w:tr w14:paraId="6746B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24001334">
            <w:pPr>
              <w:jc w:val="cente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许宗奎</w:t>
            </w:r>
          </w:p>
        </w:tc>
        <w:tc>
          <w:tcPr>
            <w:tcW w:w="1701" w:type="dxa"/>
            <w:vAlign w:val="center"/>
          </w:tcPr>
          <w:p w14:paraId="2D5D8FF8">
            <w:pPr>
              <w:jc w:val="cente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1983万元</w:t>
            </w:r>
          </w:p>
        </w:tc>
        <w:tc>
          <w:tcPr>
            <w:tcW w:w="1701" w:type="dxa"/>
            <w:vAlign w:val="center"/>
          </w:tcPr>
          <w:p w14:paraId="377AB0DB">
            <w:pPr>
              <w:jc w:val="cente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20%</w:t>
            </w:r>
          </w:p>
        </w:tc>
        <w:tc>
          <w:tcPr>
            <w:tcW w:w="3311" w:type="dxa"/>
            <w:gridSpan w:val="2"/>
            <w:vAlign w:val="center"/>
          </w:tcPr>
          <w:p w14:paraId="786F3985">
            <w:pPr>
              <w:jc w:val="cente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w:t>
            </w:r>
          </w:p>
        </w:tc>
      </w:tr>
    </w:tbl>
    <w:p w14:paraId="204BECF7">
      <w:pPr>
        <w:widowControl w:val="0"/>
        <w:spacing w:line="360" w:lineRule="auto"/>
        <w:ind w:firstLine="420"/>
        <w:jc w:val="center"/>
        <w:rPr>
          <w:rFonts w:ascii="仿宋" w:hAnsi="仿宋" w:eastAsia="仿宋"/>
          <w:bCs/>
          <w:kern w:val="2"/>
          <w:sz w:val="21"/>
          <w:szCs w:val="21"/>
        </w:rPr>
      </w:pPr>
      <w:r>
        <w:drawing>
          <wp:inline distT="0" distB="0" distL="114300" distR="114300">
            <wp:extent cx="3957320" cy="4114165"/>
            <wp:effectExtent l="0" t="0" r="508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3957320" cy="4114165"/>
                    </a:xfrm>
                    <a:prstGeom prst="rect">
                      <a:avLst/>
                    </a:prstGeom>
                    <a:noFill/>
                    <a:ln>
                      <a:noFill/>
                    </a:ln>
                  </pic:spPr>
                </pic:pic>
              </a:graphicData>
            </a:graphic>
          </wp:inline>
        </w:drawing>
      </w:r>
    </w:p>
    <w:p w14:paraId="7E595FF1">
      <w:pPr>
        <w:widowControl w:val="0"/>
        <w:spacing w:line="360" w:lineRule="auto"/>
        <w:ind w:firstLine="420"/>
        <w:jc w:val="center"/>
        <w:rPr>
          <w:rFonts w:ascii="仿宋" w:hAnsi="仿宋" w:eastAsia="仿宋"/>
          <w:bCs/>
          <w:kern w:val="2"/>
          <w:sz w:val="21"/>
          <w:szCs w:val="21"/>
        </w:rPr>
      </w:pPr>
      <w:r>
        <w:drawing>
          <wp:inline distT="0" distB="0" distL="114300" distR="114300">
            <wp:extent cx="4326890" cy="2232025"/>
            <wp:effectExtent l="0" t="0" r="16510" b="1587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a:stretch>
                      <a:fillRect/>
                    </a:stretch>
                  </pic:blipFill>
                  <pic:spPr>
                    <a:xfrm>
                      <a:off x="0" y="0"/>
                      <a:ext cx="4326890" cy="2232025"/>
                    </a:xfrm>
                    <a:prstGeom prst="rect">
                      <a:avLst/>
                    </a:prstGeom>
                    <a:noFill/>
                    <a:ln>
                      <a:noFill/>
                    </a:ln>
                  </pic:spPr>
                </pic:pic>
              </a:graphicData>
            </a:graphic>
          </wp:inline>
        </w:drawing>
      </w:r>
    </w:p>
    <w:p w14:paraId="0EEFC374">
      <w:pPr>
        <w:widowControl w:val="0"/>
        <w:spacing w:line="360" w:lineRule="auto"/>
        <w:jc w:val="both"/>
        <w:rPr>
          <w:rFonts w:ascii="仿宋" w:hAnsi="仿宋" w:eastAsia="仿宋"/>
          <w:sz w:val="21"/>
          <w:szCs w:val="21"/>
        </w:rPr>
      </w:pPr>
      <w:r>
        <w:rPr>
          <w:rFonts w:ascii="仿宋" w:hAnsi="仿宋" w:eastAsia="仿宋"/>
          <w:bCs/>
          <w:kern w:val="2"/>
          <w:sz w:val="21"/>
          <w:szCs w:val="21"/>
        </w:rPr>
        <w:tab/>
      </w:r>
      <w:r>
        <w:rPr>
          <w:rFonts w:hint="eastAsia" w:ascii="仿宋" w:hAnsi="仿宋" w:eastAsia="仿宋"/>
          <w:bCs/>
          <w:kern w:val="2"/>
          <w:sz w:val="21"/>
          <w:szCs w:val="21"/>
        </w:rPr>
        <w:t>经公开信息查询，</w:t>
      </w:r>
      <w:r>
        <w:rPr>
          <w:rFonts w:hint="eastAsia" w:ascii="仿宋" w:hAnsi="仿宋" w:eastAsia="仿宋"/>
          <w:bCs/>
          <w:kern w:val="2"/>
          <w:sz w:val="21"/>
          <w:szCs w:val="21"/>
          <w:lang w:val="en-US" w:eastAsia="zh-CN"/>
        </w:rPr>
        <w:t>新疆通力建设集团股份</w:t>
      </w:r>
      <w:r>
        <w:rPr>
          <w:rFonts w:ascii="仿宋" w:hAnsi="仿宋" w:eastAsia="仿宋"/>
          <w:sz w:val="21"/>
          <w:szCs w:val="21"/>
        </w:rPr>
        <w:t>有限公司</w:t>
      </w:r>
      <w:r>
        <w:rPr>
          <w:rFonts w:hint="eastAsia" w:ascii="仿宋" w:hAnsi="仿宋" w:eastAsia="仿宋"/>
          <w:sz w:val="21"/>
          <w:szCs w:val="21"/>
        </w:rPr>
        <w:t>共涉及诉讼</w:t>
      </w:r>
      <w:r>
        <w:rPr>
          <w:rFonts w:hint="eastAsia" w:ascii="仿宋" w:hAnsi="仿宋" w:eastAsia="仿宋"/>
          <w:sz w:val="21"/>
          <w:szCs w:val="21"/>
          <w:lang w:val="en-US" w:eastAsia="zh-CN"/>
        </w:rPr>
        <w:t>216</w:t>
      </w:r>
      <w:r>
        <w:rPr>
          <w:rFonts w:hint="eastAsia" w:ascii="仿宋" w:hAnsi="仿宋" w:eastAsia="仿宋"/>
          <w:sz w:val="21"/>
          <w:szCs w:val="21"/>
        </w:rPr>
        <w:t>条，其中作为被告诉讼</w:t>
      </w:r>
      <w:r>
        <w:rPr>
          <w:rFonts w:hint="eastAsia" w:ascii="仿宋" w:hAnsi="仿宋" w:eastAsia="仿宋"/>
          <w:sz w:val="21"/>
          <w:szCs w:val="21"/>
          <w:lang w:val="en-US" w:eastAsia="zh-CN"/>
        </w:rPr>
        <w:t>170</w:t>
      </w:r>
      <w:r>
        <w:rPr>
          <w:rFonts w:hint="eastAsia" w:ascii="仿宋" w:hAnsi="仿宋" w:eastAsia="仿宋"/>
          <w:sz w:val="21"/>
          <w:szCs w:val="21"/>
        </w:rPr>
        <w:t>条，经了解案由包含</w:t>
      </w:r>
      <w:r>
        <w:rPr>
          <w:rFonts w:hint="eastAsia" w:ascii="仿宋" w:hAnsi="仿宋" w:eastAsia="仿宋"/>
          <w:sz w:val="21"/>
          <w:szCs w:val="21"/>
          <w:lang w:val="en-US" w:eastAsia="zh-CN"/>
        </w:rPr>
        <w:t>建设工程施工合纠纷、买卖合同纠纷、劳务合同纠纷、劳动争议、建设工程合同纠纷、承揽合同纠纷、运输合同</w:t>
      </w:r>
      <w:r>
        <w:rPr>
          <w:rFonts w:ascii="仿宋" w:hAnsi="仿宋" w:eastAsia="仿宋"/>
          <w:sz w:val="21"/>
          <w:szCs w:val="21"/>
        </w:rPr>
        <w:t>纠纷</w:t>
      </w:r>
      <w:r>
        <w:rPr>
          <w:rFonts w:hint="eastAsia" w:ascii="仿宋" w:hAnsi="仿宋" w:eastAsia="仿宋"/>
          <w:sz w:val="21"/>
          <w:szCs w:val="21"/>
          <w:lang w:val="en-US" w:eastAsia="zh-CN"/>
        </w:rPr>
        <w:t>等</w:t>
      </w:r>
      <w:r>
        <w:rPr>
          <w:rFonts w:hint="eastAsia" w:ascii="仿宋" w:hAnsi="仿宋" w:eastAsia="仿宋"/>
          <w:sz w:val="21"/>
          <w:szCs w:val="21"/>
        </w:rPr>
        <w:t>，经了解均为</w:t>
      </w:r>
      <w:r>
        <w:rPr>
          <w:rFonts w:hint="eastAsia" w:ascii="仿宋" w:hAnsi="仿宋" w:eastAsia="仿宋" w:cs="仿宋"/>
          <w:i w:val="0"/>
          <w:iCs w:val="0"/>
          <w:caps w:val="0"/>
          <w:spacing w:val="0"/>
          <w:sz w:val="21"/>
          <w:szCs w:val="21"/>
          <w:highlight w:val="none"/>
          <w:shd w:val="clear" w:fill="FFFFFF"/>
        </w:rPr>
        <w:t>房屋建筑</w:t>
      </w:r>
      <w:r>
        <w:rPr>
          <w:rFonts w:hint="eastAsia" w:ascii="仿宋" w:hAnsi="仿宋" w:eastAsia="仿宋"/>
          <w:sz w:val="21"/>
          <w:szCs w:val="21"/>
        </w:rPr>
        <w:t>公司常见涉诉</w:t>
      </w:r>
      <w:r>
        <w:rPr>
          <w:rFonts w:hint="eastAsia" w:ascii="仿宋" w:hAnsi="仿宋" w:eastAsia="仿宋"/>
          <w:sz w:val="21"/>
          <w:szCs w:val="21"/>
          <w:lang w:eastAsia="zh-CN"/>
        </w:rPr>
        <w:t>，</w:t>
      </w:r>
      <w:r>
        <w:rPr>
          <w:rFonts w:hint="eastAsia" w:ascii="仿宋" w:hAnsi="仿宋" w:eastAsia="仿宋"/>
          <w:sz w:val="21"/>
          <w:szCs w:val="21"/>
        </w:rPr>
        <w:t>不会对其正常经营造成影响，也不涉及失信被执行人或金融类诉讼。</w:t>
      </w:r>
    </w:p>
    <w:p w14:paraId="1B770296">
      <w:pPr>
        <w:widowControl w:val="0"/>
        <w:numPr>
          <w:ilvl w:val="0"/>
          <w:numId w:val="1"/>
        </w:numPr>
        <w:spacing w:line="360" w:lineRule="auto"/>
        <w:ind w:left="0" w:leftChars="0" w:firstLine="420" w:firstLineChars="0"/>
        <w:jc w:val="both"/>
        <w:rPr>
          <w:rFonts w:hint="eastAsia" w:ascii="仿宋" w:hAnsi="仿宋" w:eastAsia="仿宋" w:cs="仿宋"/>
          <w:b/>
          <w:color w:val="auto"/>
          <w:kern w:val="2"/>
          <w:sz w:val="21"/>
          <w:szCs w:val="21"/>
          <w:highlight w:val="none"/>
          <w:u w:val="single"/>
        </w:rPr>
      </w:pPr>
      <w:r>
        <w:rPr>
          <w:rFonts w:hint="eastAsia" w:ascii="仿宋" w:hAnsi="仿宋" w:eastAsia="仿宋"/>
          <w:b/>
          <w:color w:val="auto"/>
          <w:kern w:val="2"/>
          <w:sz w:val="21"/>
          <w:szCs w:val="21"/>
          <w:highlight w:val="none"/>
          <w:u w:val="single"/>
          <w:lang w:val="en-US" w:eastAsia="zh-CN"/>
        </w:rPr>
        <w:t xml:space="preserve">  </w:t>
      </w:r>
      <w:r>
        <w:rPr>
          <w:rFonts w:hint="eastAsia" w:ascii="仿宋" w:hAnsi="仿宋" w:eastAsia="仿宋" w:cs="仿宋"/>
          <w:b/>
          <w:color w:val="auto"/>
          <w:kern w:val="2"/>
          <w:sz w:val="21"/>
          <w:szCs w:val="21"/>
          <w:highlight w:val="none"/>
          <w:u w:val="single"/>
          <w:lang w:val="en-US" w:eastAsia="zh-CN"/>
        </w:rPr>
        <w:t xml:space="preserve"> 房产</w:t>
      </w:r>
      <w:r>
        <w:rPr>
          <w:rFonts w:hint="eastAsia" w:ascii="仿宋" w:hAnsi="仿宋" w:eastAsia="仿宋" w:cs="仿宋"/>
          <w:b/>
          <w:color w:val="auto"/>
          <w:kern w:val="2"/>
          <w:sz w:val="21"/>
          <w:szCs w:val="21"/>
          <w:highlight w:val="none"/>
          <w:u w:val="single"/>
        </w:rPr>
        <w:t>公司情况</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1701"/>
        <w:gridCol w:w="1985"/>
        <w:gridCol w:w="1417"/>
        <w:gridCol w:w="1610"/>
      </w:tblGrid>
      <w:tr w14:paraId="672FC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gridSpan w:val="5"/>
            <w:vAlign w:val="center"/>
          </w:tcPr>
          <w:p w14:paraId="2EC0654F">
            <w:pPr>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基本信息（</w:t>
            </w:r>
            <w:r>
              <w:rPr>
                <w:rFonts w:hint="eastAsia" w:ascii="仿宋" w:hAnsi="仿宋" w:eastAsia="仿宋" w:cs="仿宋"/>
                <w:b/>
                <w:color w:val="auto"/>
                <w:sz w:val="21"/>
                <w:szCs w:val="21"/>
                <w:highlight w:val="none"/>
                <w:lang w:val="en-US" w:eastAsia="zh-CN"/>
              </w:rPr>
              <w:t>房产</w:t>
            </w:r>
            <w:r>
              <w:rPr>
                <w:rFonts w:hint="eastAsia" w:ascii="仿宋" w:hAnsi="仿宋" w:eastAsia="仿宋" w:cs="仿宋"/>
                <w:b/>
                <w:color w:val="auto"/>
                <w:sz w:val="21"/>
                <w:szCs w:val="21"/>
                <w:highlight w:val="none"/>
              </w:rPr>
              <w:t>）</w:t>
            </w:r>
          </w:p>
        </w:tc>
      </w:tr>
      <w:tr w14:paraId="77285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25C4FD05">
            <w:pPr>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承租人名称：</w:t>
            </w:r>
          </w:p>
        </w:tc>
        <w:tc>
          <w:tcPr>
            <w:tcW w:w="3686" w:type="dxa"/>
            <w:gridSpan w:val="2"/>
            <w:vAlign w:val="center"/>
          </w:tcPr>
          <w:p w14:paraId="32A96383">
            <w:pPr>
              <w:jc w:val="center"/>
              <w:rPr>
                <w:rFonts w:hint="eastAsia" w:ascii="仿宋" w:hAnsi="仿宋" w:eastAsia="仿宋" w:cs="仿宋"/>
                <w:color w:val="auto"/>
                <w:sz w:val="21"/>
                <w:szCs w:val="21"/>
                <w:highlight w:val="none"/>
              </w:rPr>
            </w:pPr>
            <w:r>
              <w:rPr>
                <w:rFonts w:hint="eastAsia" w:ascii="仿宋" w:hAnsi="仿宋" w:eastAsia="仿宋" w:cs="仿宋"/>
                <w:i w:val="0"/>
                <w:iCs w:val="0"/>
                <w:caps w:val="0"/>
                <w:color w:val="auto"/>
                <w:spacing w:val="0"/>
                <w:sz w:val="21"/>
                <w:szCs w:val="21"/>
                <w:highlight w:val="none"/>
                <w:shd w:val="clear" w:fill="F6F6F6"/>
              </w:rPr>
              <w:t>新疆通力房地产开发有限公司</w:t>
            </w:r>
          </w:p>
        </w:tc>
        <w:tc>
          <w:tcPr>
            <w:tcW w:w="1417" w:type="dxa"/>
            <w:vAlign w:val="center"/>
          </w:tcPr>
          <w:p w14:paraId="5079403F">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归属集团</w:t>
            </w:r>
          </w:p>
        </w:tc>
        <w:tc>
          <w:tcPr>
            <w:tcW w:w="1610" w:type="dxa"/>
            <w:vAlign w:val="center"/>
          </w:tcPr>
          <w:p w14:paraId="434DF5E0">
            <w:pPr>
              <w:jc w:val="center"/>
              <w:rPr>
                <w:rFonts w:hint="eastAsia" w:ascii="仿宋" w:hAnsi="仿宋" w:eastAsia="仿宋" w:cs="仿宋"/>
                <w:color w:val="auto"/>
                <w:sz w:val="21"/>
                <w:szCs w:val="21"/>
                <w:highlight w:val="none"/>
              </w:rPr>
            </w:pPr>
            <w:r>
              <w:rPr>
                <w:rFonts w:hint="eastAsia" w:ascii="仿宋" w:hAnsi="仿宋" w:eastAsia="仿宋" w:cs="仿宋"/>
                <w:i w:val="0"/>
                <w:iCs w:val="0"/>
                <w:caps w:val="0"/>
                <w:color w:val="auto"/>
                <w:spacing w:val="0"/>
                <w:sz w:val="21"/>
                <w:szCs w:val="21"/>
                <w:highlight w:val="none"/>
                <w:shd w:val="clear" w:fill="F6F6F6"/>
              </w:rPr>
              <w:t>新疆宝发农资集团有限公司</w:t>
            </w:r>
          </w:p>
        </w:tc>
      </w:tr>
      <w:tr w14:paraId="2CEBB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0ED0272A">
            <w:pPr>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注册地址：</w:t>
            </w:r>
          </w:p>
        </w:tc>
        <w:tc>
          <w:tcPr>
            <w:tcW w:w="6713" w:type="dxa"/>
            <w:gridSpan w:val="4"/>
            <w:vAlign w:val="center"/>
          </w:tcPr>
          <w:p w14:paraId="686B0BF3">
            <w:pPr>
              <w:jc w:val="center"/>
              <w:rPr>
                <w:rFonts w:hint="eastAsia" w:ascii="仿宋" w:hAnsi="仿宋" w:eastAsia="仿宋" w:cs="仿宋"/>
                <w:color w:val="auto"/>
                <w:sz w:val="21"/>
                <w:szCs w:val="21"/>
                <w:highlight w:val="none"/>
              </w:rPr>
            </w:pPr>
            <w:r>
              <w:rPr>
                <w:rFonts w:hint="eastAsia" w:ascii="仿宋" w:hAnsi="仿宋" w:eastAsia="仿宋" w:cs="仿宋"/>
                <w:i w:val="0"/>
                <w:iCs w:val="0"/>
                <w:caps w:val="0"/>
                <w:color w:val="auto"/>
                <w:spacing w:val="0"/>
                <w:sz w:val="21"/>
                <w:szCs w:val="21"/>
                <w:highlight w:val="none"/>
                <w:shd w:val="clear" w:fill="F6F6F6"/>
              </w:rPr>
              <w:t>新疆乌鲁木齐经济技术开发区泰山街100号</w:t>
            </w:r>
          </w:p>
        </w:tc>
      </w:tr>
      <w:tr w14:paraId="5940B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5A537A53">
            <w:pPr>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通讯地址：</w:t>
            </w:r>
          </w:p>
        </w:tc>
        <w:tc>
          <w:tcPr>
            <w:tcW w:w="6713" w:type="dxa"/>
            <w:gridSpan w:val="4"/>
            <w:vAlign w:val="center"/>
          </w:tcPr>
          <w:p w14:paraId="0C93EFEA">
            <w:pPr>
              <w:jc w:val="center"/>
              <w:rPr>
                <w:rFonts w:hint="eastAsia" w:ascii="仿宋" w:hAnsi="仿宋" w:eastAsia="仿宋" w:cs="仿宋"/>
                <w:color w:val="auto"/>
                <w:sz w:val="21"/>
                <w:szCs w:val="21"/>
                <w:highlight w:val="none"/>
              </w:rPr>
            </w:pPr>
          </w:p>
        </w:tc>
      </w:tr>
      <w:tr w14:paraId="6C064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01BDC754">
            <w:pPr>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成立时间：</w:t>
            </w:r>
          </w:p>
        </w:tc>
        <w:tc>
          <w:tcPr>
            <w:tcW w:w="3686" w:type="dxa"/>
            <w:gridSpan w:val="2"/>
            <w:vAlign w:val="center"/>
          </w:tcPr>
          <w:p w14:paraId="7AEAB151">
            <w:pPr>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2002年6月25日</w:t>
            </w:r>
          </w:p>
        </w:tc>
        <w:tc>
          <w:tcPr>
            <w:tcW w:w="1417" w:type="dxa"/>
            <w:vAlign w:val="center"/>
          </w:tcPr>
          <w:p w14:paraId="2A8D732A">
            <w:pPr>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公司性质：</w:t>
            </w:r>
          </w:p>
        </w:tc>
        <w:tc>
          <w:tcPr>
            <w:tcW w:w="1610" w:type="dxa"/>
            <w:vAlign w:val="center"/>
          </w:tcPr>
          <w:p w14:paraId="78AF8F8B">
            <w:pPr>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民营</w:t>
            </w:r>
          </w:p>
        </w:tc>
      </w:tr>
      <w:tr w14:paraId="27299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1C306B2D">
            <w:pPr>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注册资本</w:t>
            </w:r>
          </w:p>
        </w:tc>
        <w:tc>
          <w:tcPr>
            <w:tcW w:w="3686" w:type="dxa"/>
            <w:gridSpan w:val="2"/>
            <w:vAlign w:val="center"/>
          </w:tcPr>
          <w:p w14:paraId="39F7B481">
            <w:pPr>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10000万元</w:t>
            </w:r>
          </w:p>
        </w:tc>
        <w:tc>
          <w:tcPr>
            <w:tcW w:w="1417" w:type="dxa"/>
            <w:vAlign w:val="center"/>
          </w:tcPr>
          <w:p w14:paraId="3D7FF0B0">
            <w:pPr>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实收资本</w:t>
            </w:r>
          </w:p>
        </w:tc>
        <w:tc>
          <w:tcPr>
            <w:tcW w:w="1610" w:type="dxa"/>
            <w:vAlign w:val="center"/>
          </w:tcPr>
          <w:p w14:paraId="7AE6C753">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10000万元</w:t>
            </w:r>
          </w:p>
        </w:tc>
      </w:tr>
      <w:tr w14:paraId="1B466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62C4C2E6">
            <w:pPr>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法定代表人：</w:t>
            </w:r>
          </w:p>
        </w:tc>
        <w:tc>
          <w:tcPr>
            <w:tcW w:w="3686" w:type="dxa"/>
            <w:gridSpan w:val="2"/>
            <w:vAlign w:val="center"/>
          </w:tcPr>
          <w:p w14:paraId="14007410">
            <w:pPr>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余晓川</w:t>
            </w:r>
          </w:p>
        </w:tc>
        <w:tc>
          <w:tcPr>
            <w:tcW w:w="1417" w:type="dxa"/>
            <w:vAlign w:val="center"/>
          </w:tcPr>
          <w:p w14:paraId="577A87A0">
            <w:pPr>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实际控制人：</w:t>
            </w:r>
          </w:p>
        </w:tc>
        <w:tc>
          <w:tcPr>
            <w:tcW w:w="1610" w:type="dxa"/>
            <w:vAlign w:val="center"/>
          </w:tcPr>
          <w:p w14:paraId="16969AD5">
            <w:pPr>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许宗奎、张璐燕</w:t>
            </w:r>
          </w:p>
        </w:tc>
      </w:tr>
      <w:tr w14:paraId="20BDF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09AD83AA">
            <w:pPr>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所属行业：</w:t>
            </w:r>
          </w:p>
        </w:tc>
        <w:tc>
          <w:tcPr>
            <w:tcW w:w="6713" w:type="dxa"/>
            <w:gridSpan w:val="4"/>
            <w:vAlign w:val="center"/>
          </w:tcPr>
          <w:p w14:paraId="012D5AE6">
            <w:pPr>
              <w:jc w:val="center"/>
              <w:rPr>
                <w:rFonts w:hint="eastAsia" w:ascii="仿宋" w:hAnsi="仿宋" w:eastAsia="仿宋" w:cs="仿宋"/>
                <w:color w:val="auto"/>
                <w:sz w:val="21"/>
                <w:szCs w:val="21"/>
                <w:highlight w:val="none"/>
              </w:rPr>
            </w:pPr>
            <w:r>
              <w:rPr>
                <w:rFonts w:hint="eastAsia" w:ascii="仿宋" w:hAnsi="仿宋" w:eastAsia="仿宋" w:cs="仿宋"/>
                <w:i w:val="0"/>
                <w:iCs w:val="0"/>
                <w:caps w:val="0"/>
                <w:color w:val="auto"/>
                <w:spacing w:val="0"/>
                <w:sz w:val="21"/>
                <w:szCs w:val="21"/>
                <w:highlight w:val="none"/>
                <w:shd w:val="clear" w:fill="FFFFFF"/>
              </w:rPr>
              <w:t>房地产业</w:t>
            </w:r>
          </w:p>
        </w:tc>
      </w:tr>
      <w:tr w14:paraId="47F42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vAlign w:val="center"/>
          </w:tcPr>
          <w:p w14:paraId="47D22CD9">
            <w:pPr>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股东情况（以注册资本为标准）</w:t>
            </w:r>
          </w:p>
        </w:tc>
      </w:tr>
      <w:tr w14:paraId="73718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6A564898">
            <w:pPr>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股东名称</w:t>
            </w:r>
          </w:p>
        </w:tc>
        <w:tc>
          <w:tcPr>
            <w:tcW w:w="1701" w:type="dxa"/>
            <w:vAlign w:val="center"/>
          </w:tcPr>
          <w:p w14:paraId="169A989D">
            <w:pPr>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出资额</w:t>
            </w:r>
          </w:p>
        </w:tc>
        <w:tc>
          <w:tcPr>
            <w:tcW w:w="1985" w:type="dxa"/>
            <w:vAlign w:val="center"/>
          </w:tcPr>
          <w:p w14:paraId="14B3EF00">
            <w:pPr>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持股比例</w:t>
            </w:r>
          </w:p>
        </w:tc>
        <w:tc>
          <w:tcPr>
            <w:tcW w:w="3027" w:type="dxa"/>
            <w:gridSpan w:val="2"/>
            <w:vAlign w:val="center"/>
          </w:tcPr>
          <w:p w14:paraId="70101FE6">
            <w:pPr>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企业情况</w:t>
            </w:r>
          </w:p>
        </w:tc>
      </w:tr>
      <w:tr w14:paraId="2C2AA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6A91A199">
            <w:pPr>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许宗奎</w:t>
            </w:r>
          </w:p>
        </w:tc>
        <w:tc>
          <w:tcPr>
            <w:tcW w:w="1701" w:type="dxa"/>
            <w:vAlign w:val="center"/>
          </w:tcPr>
          <w:p w14:paraId="68F25DDF">
            <w:pPr>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7988万元</w:t>
            </w:r>
          </w:p>
        </w:tc>
        <w:tc>
          <w:tcPr>
            <w:tcW w:w="1985" w:type="dxa"/>
            <w:vAlign w:val="center"/>
          </w:tcPr>
          <w:p w14:paraId="4ECFE3E8">
            <w:pPr>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80%</w:t>
            </w:r>
          </w:p>
        </w:tc>
        <w:tc>
          <w:tcPr>
            <w:tcW w:w="3027" w:type="dxa"/>
            <w:gridSpan w:val="2"/>
            <w:vAlign w:val="center"/>
          </w:tcPr>
          <w:p w14:paraId="3AF8397E">
            <w:pPr>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w:t>
            </w:r>
          </w:p>
        </w:tc>
      </w:tr>
      <w:tr w14:paraId="21417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5EF4ECA1">
            <w:pPr>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张璐燕</w:t>
            </w:r>
          </w:p>
        </w:tc>
        <w:tc>
          <w:tcPr>
            <w:tcW w:w="1701" w:type="dxa"/>
            <w:vAlign w:val="center"/>
          </w:tcPr>
          <w:p w14:paraId="606801F3">
            <w:pPr>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1000万元</w:t>
            </w:r>
          </w:p>
        </w:tc>
        <w:tc>
          <w:tcPr>
            <w:tcW w:w="1985" w:type="dxa"/>
            <w:vAlign w:val="center"/>
          </w:tcPr>
          <w:p w14:paraId="4540F1AA">
            <w:pPr>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10%</w:t>
            </w:r>
          </w:p>
        </w:tc>
        <w:tc>
          <w:tcPr>
            <w:tcW w:w="3027" w:type="dxa"/>
            <w:gridSpan w:val="2"/>
            <w:vAlign w:val="center"/>
          </w:tcPr>
          <w:p w14:paraId="7C6809AB">
            <w:pPr>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w:t>
            </w:r>
          </w:p>
        </w:tc>
      </w:tr>
    </w:tbl>
    <w:p w14:paraId="6334E3CE">
      <w:pPr>
        <w:widowControl w:val="0"/>
        <w:spacing w:line="360" w:lineRule="auto"/>
        <w:jc w:val="center"/>
        <w:rPr>
          <w:rFonts w:hint="eastAsia" w:ascii="仿宋" w:hAnsi="仿宋" w:eastAsia="仿宋"/>
          <w:sz w:val="21"/>
          <w:szCs w:val="21"/>
        </w:rPr>
      </w:pPr>
      <w:r>
        <w:drawing>
          <wp:inline distT="0" distB="0" distL="114300" distR="114300">
            <wp:extent cx="5267960" cy="4935220"/>
            <wp:effectExtent l="0" t="0" r="8890" b="1778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6"/>
                    <a:stretch>
                      <a:fillRect/>
                    </a:stretch>
                  </pic:blipFill>
                  <pic:spPr>
                    <a:xfrm>
                      <a:off x="0" y="0"/>
                      <a:ext cx="5267960" cy="4935220"/>
                    </a:xfrm>
                    <a:prstGeom prst="rect">
                      <a:avLst/>
                    </a:prstGeom>
                    <a:noFill/>
                    <a:ln>
                      <a:noFill/>
                    </a:ln>
                  </pic:spPr>
                </pic:pic>
              </a:graphicData>
            </a:graphic>
          </wp:inline>
        </w:drawing>
      </w:r>
    </w:p>
    <w:p w14:paraId="56DB30B8">
      <w:pPr>
        <w:widowControl w:val="0"/>
        <w:spacing w:line="360" w:lineRule="auto"/>
        <w:jc w:val="center"/>
        <w:rPr>
          <w:rFonts w:ascii="仿宋" w:hAnsi="仿宋" w:eastAsia="仿宋"/>
          <w:sz w:val="21"/>
          <w:szCs w:val="21"/>
        </w:rPr>
      </w:pPr>
      <w:r>
        <w:drawing>
          <wp:inline distT="0" distB="0" distL="114300" distR="114300">
            <wp:extent cx="5269865" cy="2658110"/>
            <wp:effectExtent l="0" t="0" r="6985" b="889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7"/>
                    <a:stretch>
                      <a:fillRect/>
                    </a:stretch>
                  </pic:blipFill>
                  <pic:spPr>
                    <a:xfrm>
                      <a:off x="0" y="0"/>
                      <a:ext cx="5269865" cy="2658110"/>
                    </a:xfrm>
                    <a:prstGeom prst="rect">
                      <a:avLst/>
                    </a:prstGeom>
                    <a:noFill/>
                    <a:ln>
                      <a:noFill/>
                    </a:ln>
                  </pic:spPr>
                </pic:pic>
              </a:graphicData>
            </a:graphic>
          </wp:inline>
        </w:drawing>
      </w:r>
    </w:p>
    <w:p w14:paraId="0EC8893A">
      <w:pPr>
        <w:widowControl w:val="0"/>
        <w:spacing w:line="360" w:lineRule="auto"/>
        <w:ind w:firstLine="420"/>
        <w:jc w:val="both"/>
        <w:rPr>
          <w:rFonts w:ascii="仿宋" w:hAnsi="仿宋" w:eastAsia="仿宋"/>
          <w:sz w:val="21"/>
          <w:szCs w:val="21"/>
        </w:rPr>
      </w:pPr>
      <w:r>
        <w:rPr>
          <w:rFonts w:hint="eastAsia" w:ascii="仿宋" w:hAnsi="仿宋" w:eastAsia="仿宋"/>
          <w:bCs/>
          <w:kern w:val="2"/>
          <w:sz w:val="21"/>
          <w:szCs w:val="21"/>
        </w:rPr>
        <w:t>经公开信息查询，新疆通力房地产开发有限公司</w:t>
      </w:r>
      <w:r>
        <w:rPr>
          <w:rFonts w:hint="eastAsia" w:ascii="仿宋" w:hAnsi="仿宋" w:eastAsia="仿宋"/>
          <w:sz w:val="21"/>
          <w:szCs w:val="21"/>
        </w:rPr>
        <w:t>共涉及诉讼</w:t>
      </w:r>
      <w:r>
        <w:rPr>
          <w:rFonts w:hint="eastAsia" w:ascii="仿宋" w:hAnsi="仿宋" w:eastAsia="仿宋"/>
          <w:sz w:val="21"/>
          <w:szCs w:val="21"/>
          <w:lang w:val="en-US" w:eastAsia="zh-CN"/>
        </w:rPr>
        <w:t>6</w:t>
      </w:r>
      <w:r>
        <w:rPr>
          <w:rFonts w:hint="eastAsia" w:ascii="仿宋" w:hAnsi="仿宋" w:eastAsia="仿宋"/>
          <w:sz w:val="21"/>
          <w:szCs w:val="21"/>
        </w:rPr>
        <w:t>条，其中作为被告诉讼</w:t>
      </w:r>
      <w:r>
        <w:rPr>
          <w:rFonts w:hint="eastAsia" w:ascii="仿宋" w:hAnsi="仿宋" w:eastAsia="仿宋"/>
          <w:sz w:val="21"/>
          <w:szCs w:val="21"/>
          <w:lang w:val="en-US" w:eastAsia="zh-CN"/>
        </w:rPr>
        <w:t>4</w:t>
      </w:r>
      <w:r>
        <w:rPr>
          <w:rFonts w:hint="eastAsia" w:ascii="仿宋" w:hAnsi="仿宋" w:eastAsia="仿宋"/>
          <w:sz w:val="21"/>
          <w:szCs w:val="21"/>
        </w:rPr>
        <w:t>条，案由包含</w:t>
      </w:r>
      <w:r>
        <w:rPr>
          <w:rFonts w:hint="eastAsia" w:ascii="仿宋" w:hAnsi="仿宋" w:eastAsia="仿宋"/>
          <w:sz w:val="21"/>
          <w:szCs w:val="21"/>
          <w:lang w:val="en-US" w:eastAsia="zh-CN"/>
        </w:rPr>
        <w:t>合同</w:t>
      </w:r>
      <w:r>
        <w:rPr>
          <w:rFonts w:ascii="仿宋" w:hAnsi="仿宋" w:eastAsia="仿宋"/>
          <w:sz w:val="21"/>
          <w:szCs w:val="21"/>
        </w:rPr>
        <w:t>纠纷</w:t>
      </w:r>
      <w:r>
        <w:rPr>
          <w:rFonts w:hint="eastAsia" w:ascii="仿宋" w:hAnsi="仿宋" w:eastAsia="仿宋"/>
          <w:sz w:val="21"/>
          <w:szCs w:val="21"/>
          <w:lang w:eastAsia="zh-CN"/>
        </w:rPr>
        <w:t>、</w:t>
      </w:r>
      <w:r>
        <w:rPr>
          <w:rFonts w:hint="eastAsia" w:ascii="仿宋" w:hAnsi="仿宋" w:eastAsia="仿宋"/>
          <w:sz w:val="21"/>
          <w:szCs w:val="21"/>
          <w:lang w:val="en-US" w:eastAsia="zh-CN"/>
        </w:rPr>
        <w:t>装饰装修合同纠纷和返还原物纠纷</w:t>
      </w:r>
      <w:r>
        <w:rPr>
          <w:rFonts w:hint="eastAsia" w:ascii="仿宋" w:hAnsi="仿宋" w:eastAsia="仿宋"/>
          <w:sz w:val="21"/>
          <w:szCs w:val="21"/>
        </w:rPr>
        <w:t>，经了解均不会对其正常经营造成影响，也不涉及失信被执行人或金融类诉讼。</w:t>
      </w:r>
    </w:p>
    <w:p w14:paraId="32A40B70">
      <w:pPr>
        <w:widowControl w:val="0"/>
        <w:spacing w:line="360" w:lineRule="auto"/>
        <w:jc w:val="both"/>
        <w:rPr>
          <w:rFonts w:hint="eastAsia" w:ascii="仿宋" w:hAnsi="仿宋" w:eastAsia="仿宋"/>
          <w:sz w:val="21"/>
          <w:szCs w:val="21"/>
        </w:rPr>
        <w:sectPr>
          <w:pgSz w:w="11906" w:h="16838"/>
          <w:pgMar w:top="1440" w:right="1800" w:bottom="1440" w:left="1800" w:header="851" w:footer="992" w:gutter="0"/>
          <w:cols w:space="720" w:num="1"/>
          <w:docGrid w:type="lines" w:linePitch="326" w:charSpace="0"/>
        </w:sectPr>
      </w:pPr>
    </w:p>
    <w:p w14:paraId="4B61BA10">
      <w:pPr>
        <w:widowControl w:val="0"/>
        <w:numPr>
          <w:ilvl w:val="0"/>
          <w:numId w:val="1"/>
        </w:numPr>
        <w:spacing w:line="360" w:lineRule="auto"/>
        <w:ind w:left="0" w:leftChars="0" w:firstLine="420" w:firstLineChars="0"/>
        <w:jc w:val="both"/>
        <w:rPr>
          <w:rFonts w:hint="eastAsia" w:ascii="仿宋" w:hAnsi="仿宋" w:eastAsia="仿宋"/>
          <w:b/>
          <w:bCs/>
          <w:sz w:val="21"/>
          <w:szCs w:val="21"/>
          <w:u w:val="single"/>
        </w:rPr>
      </w:pPr>
      <w:r>
        <w:rPr>
          <w:rFonts w:ascii="仿宋" w:hAnsi="仿宋" w:eastAsia="仿宋"/>
          <w:b/>
          <w:bCs/>
          <w:sz w:val="21"/>
          <w:szCs w:val="21"/>
          <w:u w:val="single"/>
        </w:rPr>
        <w:t>板块</w:t>
      </w:r>
      <w:r>
        <w:rPr>
          <w:rFonts w:hint="eastAsia" w:ascii="仿宋" w:hAnsi="仿宋" w:eastAsia="仿宋"/>
          <w:b/>
          <w:bCs/>
          <w:sz w:val="21"/>
          <w:szCs w:val="21"/>
          <w:u w:val="single"/>
        </w:rPr>
        <w:t>财务状况：</w:t>
      </w:r>
    </w:p>
    <w:tbl>
      <w:tblPr>
        <w:tblStyle w:val="3"/>
        <w:tblW w:w="14083"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11"/>
        <w:gridCol w:w="1054"/>
        <w:gridCol w:w="874"/>
        <w:gridCol w:w="965"/>
        <w:gridCol w:w="874"/>
        <w:gridCol w:w="965"/>
        <w:gridCol w:w="1144"/>
        <w:gridCol w:w="965"/>
        <w:gridCol w:w="995"/>
        <w:gridCol w:w="965"/>
        <w:gridCol w:w="1341"/>
        <w:gridCol w:w="1026"/>
        <w:gridCol w:w="1504"/>
      </w:tblGrid>
      <w:tr w14:paraId="16FAC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81"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92A85AC">
            <w:pPr>
              <w:keepNext w:val="0"/>
              <w:keepLines w:val="0"/>
              <w:widowControl/>
              <w:suppressLineNumbers w:val="0"/>
              <w:jc w:val="center"/>
              <w:textAlignment w:val="center"/>
              <w:rPr>
                <w:rFonts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板块</w:t>
            </w:r>
          </w:p>
        </w:tc>
        <w:tc>
          <w:tcPr>
            <w:tcW w:w="12702" w:type="dxa"/>
            <w:gridSpan w:val="12"/>
            <w:tcBorders>
              <w:top w:val="single" w:color="000000" w:sz="8" w:space="0"/>
              <w:left w:val="nil"/>
              <w:bottom w:val="single" w:color="000000" w:sz="8" w:space="0"/>
              <w:right w:val="single" w:color="000000" w:sz="8" w:space="0"/>
            </w:tcBorders>
            <w:shd w:val="clear" w:color="auto" w:fill="auto"/>
            <w:noWrap/>
            <w:vAlign w:val="center"/>
          </w:tcPr>
          <w:p w14:paraId="565BD25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能源板块</w:t>
            </w:r>
          </w:p>
        </w:tc>
      </w:tr>
      <w:tr w14:paraId="7890D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2D5FDB3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公司名称</w:t>
            </w:r>
          </w:p>
        </w:tc>
        <w:tc>
          <w:tcPr>
            <w:tcW w:w="0" w:type="auto"/>
            <w:gridSpan w:val="12"/>
            <w:tcBorders>
              <w:top w:val="nil"/>
              <w:left w:val="nil"/>
              <w:bottom w:val="single" w:color="000000" w:sz="8" w:space="0"/>
              <w:right w:val="single" w:color="000000" w:sz="8" w:space="0"/>
            </w:tcBorders>
            <w:shd w:val="clear" w:color="auto" w:fill="auto"/>
            <w:noWrap/>
            <w:vAlign w:val="center"/>
          </w:tcPr>
          <w:p w14:paraId="7C853B0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新疆通力塔格拉克水电有限公司</w:t>
            </w:r>
          </w:p>
        </w:tc>
      </w:tr>
      <w:tr w14:paraId="6663F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50E507C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科目（万元，%）</w:t>
            </w:r>
          </w:p>
        </w:tc>
        <w:tc>
          <w:tcPr>
            <w:tcW w:w="0" w:type="auto"/>
            <w:tcBorders>
              <w:top w:val="nil"/>
              <w:left w:val="nil"/>
              <w:bottom w:val="single" w:color="000000" w:sz="8" w:space="0"/>
              <w:right w:val="single" w:color="000000" w:sz="8" w:space="0"/>
            </w:tcBorders>
            <w:shd w:val="clear" w:color="auto" w:fill="auto"/>
            <w:noWrap/>
            <w:vAlign w:val="center"/>
          </w:tcPr>
          <w:p w14:paraId="3C4FF86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总资产</w:t>
            </w:r>
          </w:p>
        </w:tc>
        <w:tc>
          <w:tcPr>
            <w:tcW w:w="0" w:type="auto"/>
            <w:tcBorders>
              <w:top w:val="nil"/>
              <w:left w:val="nil"/>
              <w:bottom w:val="single" w:color="000000" w:sz="8" w:space="0"/>
              <w:right w:val="single" w:color="000000" w:sz="8" w:space="0"/>
            </w:tcBorders>
            <w:shd w:val="clear" w:color="auto" w:fill="auto"/>
            <w:noWrap/>
            <w:vAlign w:val="center"/>
          </w:tcPr>
          <w:p w14:paraId="29CC9AE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同比</w:t>
            </w:r>
          </w:p>
        </w:tc>
        <w:tc>
          <w:tcPr>
            <w:tcW w:w="0" w:type="auto"/>
            <w:tcBorders>
              <w:top w:val="nil"/>
              <w:left w:val="nil"/>
              <w:bottom w:val="single" w:color="000000" w:sz="8" w:space="0"/>
              <w:right w:val="single" w:color="000000" w:sz="8" w:space="0"/>
            </w:tcBorders>
            <w:shd w:val="clear" w:color="auto" w:fill="auto"/>
            <w:noWrap/>
            <w:vAlign w:val="center"/>
          </w:tcPr>
          <w:p w14:paraId="02556F9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总负债</w:t>
            </w:r>
          </w:p>
        </w:tc>
        <w:tc>
          <w:tcPr>
            <w:tcW w:w="0" w:type="auto"/>
            <w:tcBorders>
              <w:top w:val="nil"/>
              <w:left w:val="nil"/>
              <w:bottom w:val="single" w:color="000000" w:sz="8" w:space="0"/>
              <w:right w:val="single" w:color="000000" w:sz="8" w:space="0"/>
            </w:tcBorders>
            <w:shd w:val="clear" w:color="auto" w:fill="auto"/>
            <w:noWrap/>
            <w:vAlign w:val="center"/>
          </w:tcPr>
          <w:p w14:paraId="64595A8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同比</w:t>
            </w:r>
          </w:p>
        </w:tc>
        <w:tc>
          <w:tcPr>
            <w:tcW w:w="0" w:type="auto"/>
            <w:tcBorders>
              <w:top w:val="nil"/>
              <w:left w:val="nil"/>
              <w:bottom w:val="single" w:color="000000" w:sz="8" w:space="0"/>
              <w:right w:val="single" w:color="000000" w:sz="8" w:space="0"/>
            </w:tcBorders>
            <w:shd w:val="clear" w:color="auto" w:fill="auto"/>
            <w:noWrap/>
            <w:vAlign w:val="center"/>
          </w:tcPr>
          <w:p w14:paraId="28E0125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有息负债</w:t>
            </w:r>
          </w:p>
        </w:tc>
        <w:tc>
          <w:tcPr>
            <w:tcW w:w="0" w:type="auto"/>
            <w:tcBorders>
              <w:top w:val="nil"/>
              <w:left w:val="nil"/>
              <w:bottom w:val="single" w:color="000000" w:sz="8" w:space="0"/>
              <w:right w:val="single" w:color="000000" w:sz="8" w:space="0"/>
            </w:tcBorders>
            <w:shd w:val="clear" w:color="auto" w:fill="auto"/>
            <w:noWrap/>
            <w:vAlign w:val="center"/>
          </w:tcPr>
          <w:p w14:paraId="48885DD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资产负债率</w:t>
            </w:r>
          </w:p>
        </w:tc>
        <w:tc>
          <w:tcPr>
            <w:tcW w:w="0" w:type="auto"/>
            <w:tcBorders>
              <w:top w:val="nil"/>
              <w:left w:val="nil"/>
              <w:bottom w:val="single" w:color="000000" w:sz="8" w:space="0"/>
              <w:right w:val="single" w:color="000000" w:sz="8" w:space="0"/>
            </w:tcBorders>
            <w:shd w:val="clear" w:color="auto" w:fill="auto"/>
            <w:noWrap/>
            <w:vAlign w:val="center"/>
          </w:tcPr>
          <w:p w14:paraId="5943BA0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营业收入</w:t>
            </w:r>
          </w:p>
        </w:tc>
        <w:tc>
          <w:tcPr>
            <w:tcW w:w="0" w:type="auto"/>
            <w:tcBorders>
              <w:top w:val="nil"/>
              <w:left w:val="nil"/>
              <w:bottom w:val="single" w:color="000000" w:sz="8" w:space="0"/>
              <w:right w:val="single" w:color="000000" w:sz="8" w:space="0"/>
            </w:tcBorders>
            <w:shd w:val="clear" w:color="auto" w:fill="auto"/>
            <w:noWrap/>
            <w:vAlign w:val="center"/>
          </w:tcPr>
          <w:p w14:paraId="70E9B5A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同比</w:t>
            </w:r>
          </w:p>
        </w:tc>
        <w:tc>
          <w:tcPr>
            <w:tcW w:w="0" w:type="auto"/>
            <w:tcBorders>
              <w:top w:val="nil"/>
              <w:left w:val="nil"/>
              <w:bottom w:val="single" w:color="000000" w:sz="8" w:space="0"/>
              <w:right w:val="single" w:color="000000" w:sz="8" w:space="0"/>
            </w:tcBorders>
            <w:shd w:val="clear" w:color="auto" w:fill="auto"/>
            <w:noWrap/>
            <w:vAlign w:val="center"/>
          </w:tcPr>
          <w:p w14:paraId="1B03374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营业成本</w:t>
            </w:r>
          </w:p>
        </w:tc>
        <w:tc>
          <w:tcPr>
            <w:tcW w:w="0" w:type="auto"/>
            <w:tcBorders>
              <w:top w:val="nil"/>
              <w:left w:val="nil"/>
              <w:bottom w:val="single" w:color="000000" w:sz="8" w:space="0"/>
              <w:right w:val="single" w:color="000000" w:sz="8" w:space="0"/>
            </w:tcBorders>
            <w:shd w:val="clear" w:color="auto" w:fill="auto"/>
            <w:noWrap/>
            <w:vAlign w:val="center"/>
          </w:tcPr>
          <w:p w14:paraId="15CB8FE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净利润</w:t>
            </w:r>
          </w:p>
        </w:tc>
        <w:tc>
          <w:tcPr>
            <w:tcW w:w="0" w:type="auto"/>
            <w:tcBorders>
              <w:top w:val="nil"/>
              <w:left w:val="nil"/>
              <w:bottom w:val="single" w:color="000000" w:sz="8" w:space="0"/>
              <w:right w:val="single" w:color="000000" w:sz="8" w:space="0"/>
            </w:tcBorders>
            <w:shd w:val="clear" w:color="auto" w:fill="auto"/>
            <w:noWrap/>
            <w:vAlign w:val="center"/>
          </w:tcPr>
          <w:p w14:paraId="68EE5C1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净利率</w:t>
            </w:r>
          </w:p>
        </w:tc>
        <w:tc>
          <w:tcPr>
            <w:tcW w:w="0" w:type="auto"/>
            <w:tcBorders>
              <w:top w:val="nil"/>
              <w:left w:val="nil"/>
              <w:bottom w:val="single" w:color="000000" w:sz="8" w:space="0"/>
              <w:right w:val="single" w:color="000000" w:sz="8" w:space="0"/>
            </w:tcBorders>
            <w:shd w:val="clear" w:color="auto" w:fill="auto"/>
            <w:noWrap/>
            <w:vAlign w:val="center"/>
          </w:tcPr>
          <w:p w14:paraId="37987EB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经营性净现金流</w:t>
            </w:r>
          </w:p>
        </w:tc>
      </w:tr>
      <w:tr w14:paraId="334E5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53CE158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2021</w:t>
            </w:r>
          </w:p>
        </w:tc>
        <w:tc>
          <w:tcPr>
            <w:tcW w:w="0" w:type="auto"/>
            <w:tcBorders>
              <w:top w:val="nil"/>
              <w:left w:val="nil"/>
              <w:bottom w:val="single" w:color="000000" w:sz="8" w:space="0"/>
              <w:right w:val="single" w:color="000000" w:sz="8" w:space="0"/>
            </w:tcBorders>
            <w:shd w:val="clear" w:color="auto" w:fill="auto"/>
            <w:noWrap/>
            <w:vAlign w:val="center"/>
          </w:tcPr>
          <w:p w14:paraId="71013C6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24149.44</w:t>
            </w:r>
          </w:p>
        </w:tc>
        <w:tc>
          <w:tcPr>
            <w:tcW w:w="0" w:type="auto"/>
            <w:tcBorders>
              <w:top w:val="nil"/>
              <w:left w:val="nil"/>
              <w:bottom w:val="single" w:color="000000" w:sz="8" w:space="0"/>
              <w:right w:val="single" w:color="000000" w:sz="8" w:space="0"/>
            </w:tcBorders>
            <w:shd w:val="clear" w:color="auto" w:fill="auto"/>
            <w:noWrap/>
            <w:vAlign w:val="center"/>
          </w:tcPr>
          <w:p w14:paraId="25F611EA">
            <w:pPr>
              <w:jc w:val="center"/>
              <w:rPr>
                <w:rFonts w:hint="eastAsia" w:ascii="仿宋" w:hAnsi="仿宋" w:eastAsia="仿宋" w:cs="仿宋"/>
                <w:i w:val="0"/>
                <w:iCs w:val="0"/>
                <w:color w:val="000000"/>
                <w:sz w:val="16"/>
                <w:szCs w:val="16"/>
                <w:u w:val="none"/>
              </w:rPr>
            </w:pPr>
          </w:p>
        </w:tc>
        <w:tc>
          <w:tcPr>
            <w:tcW w:w="0" w:type="auto"/>
            <w:tcBorders>
              <w:top w:val="nil"/>
              <w:left w:val="nil"/>
              <w:bottom w:val="single" w:color="000000" w:sz="8" w:space="0"/>
              <w:right w:val="single" w:color="000000" w:sz="8" w:space="0"/>
            </w:tcBorders>
            <w:shd w:val="clear" w:color="auto" w:fill="auto"/>
            <w:noWrap/>
            <w:vAlign w:val="center"/>
          </w:tcPr>
          <w:p w14:paraId="45CA356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17999.03</w:t>
            </w:r>
          </w:p>
        </w:tc>
        <w:tc>
          <w:tcPr>
            <w:tcW w:w="0" w:type="auto"/>
            <w:tcBorders>
              <w:top w:val="nil"/>
              <w:left w:val="nil"/>
              <w:bottom w:val="single" w:color="000000" w:sz="8" w:space="0"/>
              <w:right w:val="single" w:color="000000" w:sz="8" w:space="0"/>
            </w:tcBorders>
            <w:shd w:val="clear" w:color="auto" w:fill="auto"/>
            <w:noWrap/>
            <w:vAlign w:val="center"/>
          </w:tcPr>
          <w:p w14:paraId="0AF786FD">
            <w:pPr>
              <w:jc w:val="center"/>
              <w:rPr>
                <w:rFonts w:hint="eastAsia" w:ascii="仿宋" w:hAnsi="仿宋" w:eastAsia="仿宋" w:cs="仿宋"/>
                <w:i w:val="0"/>
                <w:iCs w:val="0"/>
                <w:color w:val="000000"/>
                <w:sz w:val="16"/>
                <w:szCs w:val="16"/>
                <w:u w:val="none"/>
              </w:rPr>
            </w:pPr>
          </w:p>
        </w:tc>
        <w:tc>
          <w:tcPr>
            <w:tcW w:w="0" w:type="auto"/>
            <w:tcBorders>
              <w:top w:val="nil"/>
              <w:left w:val="nil"/>
              <w:bottom w:val="single" w:color="000000" w:sz="8" w:space="0"/>
              <w:right w:val="single" w:color="000000" w:sz="8" w:space="0"/>
            </w:tcBorders>
            <w:shd w:val="clear" w:color="auto" w:fill="auto"/>
            <w:noWrap/>
            <w:vAlign w:val="center"/>
          </w:tcPr>
          <w:p w14:paraId="6E93FF9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14618.4</w:t>
            </w:r>
          </w:p>
        </w:tc>
        <w:tc>
          <w:tcPr>
            <w:tcW w:w="0" w:type="auto"/>
            <w:tcBorders>
              <w:top w:val="nil"/>
              <w:left w:val="nil"/>
              <w:bottom w:val="single" w:color="000000" w:sz="8" w:space="0"/>
              <w:right w:val="single" w:color="000000" w:sz="8" w:space="0"/>
            </w:tcBorders>
            <w:shd w:val="clear" w:color="auto" w:fill="auto"/>
            <w:noWrap/>
            <w:vAlign w:val="center"/>
          </w:tcPr>
          <w:p w14:paraId="2E3398F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75%</w:t>
            </w:r>
          </w:p>
        </w:tc>
        <w:tc>
          <w:tcPr>
            <w:tcW w:w="0" w:type="auto"/>
            <w:tcBorders>
              <w:top w:val="nil"/>
              <w:left w:val="nil"/>
              <w:bottom w:val="single" w:color="000000" w:sz="8" w:space="0"/>
              <w:right w:val="single" w:color="000000" w:sz="8" w:space="0"/>
            </w:tcBorders>
            <w:shd w:val="clear" w:color="auto" w:fill="auto"/>
            <w:noWrap/>
            <w:vAlign w:val="center"/>
          </w:tcPr>
          <w:p w14:paraId="272BBD7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1534.97</w:t>
            </w:r>
          </w:p>
        </w:tc>
        <w:tc>
          <w:tcPr>
            <w:tcW w:w="0" w:type="auto"/>
            <w:tcBorders>
              <w:top w:val="nil"/>
              <w:left w:val="nil"/>
              <w:bottom w:val="single" w:color="000000" w:sz="8" w:space="0"/>
              <w:right w:val="single" w:color="000000" w:sz="8" w:space="0"/>
            </w:tcBorders>
            <w:shd w:val="clear" w:color="auto" w:fill="auto"/>
            <w:noWrap/>
            <w:vAlign w:val="center"/>
          </w:tcPr>
          <w:p w14:paraId="5D1FCA85">
            <w:pPr>
              <w:jc w:val="center"/>
              <w:rPr>
                <w:rFonts w:hint="eastAsia" w:ascii="仿宋" w:hAnsi="仿宋" w:eastAsia="仿宋" w:cs="仿宋"/>
                <w:i w:val="0"/>
                <w:iCs w:val="0"/>
                <w:color w:val="000000"/>
                <w:sz w:val="16"/>
                <w:szCs w:val="16"/>
                <w:u w:val="none"/>
              </w:rPr>
            </w:pPr>
          </w:p>
        </w:tc>
        <w:tc>
          <w:tcPr>
            <w:tcW w:w="0" w:type="auto"/>
            <w:tcBorders>
              <w:top w:val="nil"/>
              <w:left w:val="nil"/>
              <w:bottom w:val="single" w:color="000000" w:sz="8" w:space="0"/>
              <w:right w:val="single" w:color="000000" w:sz="8" w:space="0"/>
            </w:tcBorders>
            <w:shd w:val="clear" w:color="auto" w:fill="auto"/>
            <w:noWrap/>
            <w:vAlign w:val="center"/>
          </w:tcPr>
          <w:p w14:paraId="41C7F85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428.68</w:t>
            </w:r>
          </w:p>
        </w:tc>
        <w:tc>
          <w:tcPr>
            <w:tcW w:w="0" w:type="auto"/>
            <w:tcBorders>
              <w:top w:val="nil"/>
              <w:left w:val="nil"/>
              <w:bottom w:val="single" w:color="000000" w:sz="8" w:space="0"/>
              <w:right w:val="single" w:color="000000" w:sz="8" w:space="0"/>
            </w:tcBorders>
            <w:shd w:val="clear" w:color="auto" w:fill="auto"/>
            <w:noWrap/>
            <w:vAlign w:val="center"/>
          </w:tcPr>
          <w:p w14:paraId="5AB68FE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525.57</w:t>
            </w:r>
          </w:p>
        </w:tc>
        <w:tc>
          <w:tcPr>
            <w:tcW w:w="0" w:type="auto"/>
            <w:tcBorders>
              <w:top w:val="nil"/>
              <w:left w:val="nil"/>
              <w:bottom w:val="single" w:color="000000" w:sz="8" w:space="0"/>
              <w:right w:val="single" w:color="000000" w:sz="8" w:space="0"/>
            </w:tcBorders>
            <w:shd w:val="clear" w:color="auto" w:fill="auto"/>
            <w:noWrap/>
            <w:vAlign w:val="center"/>
          </w:tcPr>
          <w:p w14:paraId="1E2C577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34%</w:t>
            </w:r>
          </w:p>
        </w:tc>
        <w:tc>
          <w:tcPr>
            <w:tcW w:w="0" w:type="auto"/>
            <w:tcBorders>
              <w:top w:val="nil"/>
              <w:left w:val="nil"/>
              <w:bottom w:val="single" w:color="000000" w:sz="8" w:space="0"/>
              <w:right w:val="single" w:color="000000" w:sz="8" w:space="0"/>
            </w:tcBorders>
            <w:shd w:val="clear" w:color="auto" w:fill="auto"/>
            <w:noWrap/>
            <w:vAlign w:val="center"/>
          </w:tcPr>
          <w:p w14:paraId="1078E0D7">
            <w:pPr>
              <w:jc w:val="center"/>
              <w:rPr>
                <w:rFonts w:hint="eastAsia" w:ascii="仿宋" w:hAnsi="仿宋" w:eastAsia="仿宋" w:cs="仿宋"/>
                <w:i w:val="0"/>
                <w:iCs w:val="0"/>
                <w:color w:val="000000"/>
                <w:sz w:val="16"/>
                <w:szCs w:val="16"/>
                <w:u w:val="none"/>
              </w:rPr>
            </w:pPr>
          </w:p>
        </w:tc>
      </w:tr>
      <w:tr w14:paraId="1E690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18E0B2C2">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2022</w:t>
            </w:r>
          </w:p>
        </w:tc>
        <w:tc>
          <w:tcPr>
            <w:tcW w:w="0" w:type="auto"/>
            <w:tcBorders>
              <w:top w:val="nil"/>
              <w:left w:val="nil"/>
              <w:bottom w:val="single" w:color="000000" w:sz="8" w:space="0"/>
              <w:right w:val="single" w:color="000000" w:sz="8" w:space="0"/>
            </w:tcBorders>
            <w:shd w:val="clear" w:color="auto" w:fill="auto"/>
            <w:noWrap/>
            <w:vAlign w:val="center"/>
          </w:tcPr>
          <w:p w14:paraId="3BC51518">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23955.28</w:t>
            </w:r>
          </w:p>
        </w:tc>
        <w:tc>
          <w:tcPr>
            <w:tcW w:w="0" w:type="auto"/>
            <w:tcBorders>
              <w:top w:val="nil"/>
              <w:left w:val="nil"/>
              <w:bottom w:val="single" w:color="000000" w:sz="8" w:space="0"/>
              <w:right w:val="single" w:color="000000" w:sz="8" w:space="0"/>
            </w:tcBorders>
            <w:shd w:val="clear" w:color="auto" w:fill="auto"/>
            <w:noWrap/>
            <w:vAlign w:val="center"/>
          </w:tcPr>
          <w:p w14:paraId="533282D5">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w:t>
            </w:r>
          </w:p>
        </w:tc>
        <w:tc>
          <w:tcPr>
            <w:tcW w:w="0" w:type="auto"/>
            <w:tcBorders>
              <w:top w:val="nil"/>
              <w:left w:val="nil"/>
              <w:bottom w:val="single" w:color="000000" w:sz="8" w:space="0"/>
              <w:right w:val="single" w:color="000000" w:sz="8" w:space="0"/>
            </w:tcBorders>
            <w:shd w:val="clear" w:color="auto" w:fill="auto"/>
            <w:noWrap/>
            <w:vAlign w:val="center"/>
          </w:tcPr>
          <w:p w14:paraId="2EACCAE2">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17786.94</w:t>
            </w:r>
          </w:p>
        </w:tc>
        <w:tc>
          <w:tcPr>
            <w:tcW w:w="0" w:type="auto"/>
            <w:tcBorders>
              <w:top w:val="nil"/>
              <w:left w:val="nil"/>
              <w:bottom w:val="single" w:color="000000" w:sz="8" w:space="0"/>
              <w:right w:val="single" w:color="000000" w:sz="8" w:space="0"/>
            </w:tcBorders>
            <w:shd w:val="clear" w:color="auto" w:fill="auto"/>
            <w:noWrap/>
            <w:vAlign w:val="center"/>
          </w:tcPr>
          <w:p w14:paraId="606E3FF6">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w:t>
            </w:r>
          </w:p>
        </w:tc>
        <w:tc>
          <w:tcPr>
            <w:tcW w:w="0" w:type="auto"/>
            <w:tcBorders>
              <w:top w:val="nil"/>
              <w:left w:val="nil"/>
              <w:bottom w:val="single" w:color="000000" w:sz="8" w:space="0"/>
              <w:right w:val="single" w:color="000000" w:sz="8" w:space="0"/>
            </w:tcBorders>
            <w:shd w:val="clear" w:color="auto" w:fill="auto"/>
            <w:noWrap/>
            <w:vAlign w:val="center"/>
          </w:tcPr>
          <w:p w14:paraId="241CAF36">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13888.4</w:t>
            </w:r>
          </w:p>
        </w:tc>
        <w:tc>
          <w:tcPr>
            <w:tcW w:w="0" w:type="auto"/>
            <w:tcBorders>
              <w:top w:val="nil"/>
              <w:left w:val="nil"/>
              <w:bottom w:val="single" w:color="000000" w:sz="8" w:space="0"/>
              <w:right w:val="single" w:color="000000" w:sz="8" w:space="0"/>
            </w:tcBorders>
            <w:shd w:val="clear" w:color="auto" w:fill="auto"/>
            <w:noWrap/>
            <w:vAlign w:val="center"/>
          </w:tcPr>
          <w:p w14:paraId="58FFB3C2">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74%</w:t>
            </w:r>
          </w:p>
        </w:tc>
        <w:tc>
          <w:tcPr>
            <w:tcW w:w="0" w:type="auto"/>
            <w:tcBorders>
              <w:top w:val="nil"/>
              <w:left w:val="nil"/>
              <w:bottom w:val="single" w:color="000000" w:sz="8" w:space="0"/>
              <w:right w:val="single" w:color="000000" w:sz="8" w:space="0"/>
            </w:tcBorders>
            <w:shd w:val="clear" w:color="auto" w:fill="auto"/>
            <w:noWrap/>
            <w:vAlign w:val="center"/>
          </w:tcPr>
          <w:p w14:paraId="74557610">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1459.47</w:t>
            </w:r>
          </w:p>
        </w:tc>
        <w:tc>
          <w:tcPr>
            <w:tcW w:w="0" w:type="auto"/>
            <w:tcBorders>
              <w:top w:val="nil"/>
              <w:left w:val="nil"/>
              <w:bottom w:val="single" w:color="000000" w:sz="8" w:space="0"/>
              <w:right w:val="single" w:color="000000" w:sz="8" w:space="0"/>
            </w:tcBorders>
            <w:shd w:val="clear" w:color="auto" w:fill="auto"/>
            <w:noWrap/>
            <w:vAlign w:val="center"/>
          </w:tcPr>
          <w:p w14:paraId="68BF09A6">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-5%</w:t>
            </w:r>
          </w:p>
        </w:tc>
        <w:tc>
          <w:tcPr>
            <w:tcW w:w="0" w:type="auto"/>
            <w:tcBorders>
              <w:top w:val="nil"/>
              <w:left w:val="nil"/>
              <w:bottom w:val="single" w:color="000000" w:sz="8" w:space="0"/>
              <w:right w:val="single" w:color="000000" w:sz="8" w:space="0"/>
            </w:tcBorders>
            <w:shd w:val="clear" w:color="auto" w:fill="auto"/>
            <w:noWrap/>
            <w:vAlign w:val="center"/>
          </w:tcPr>
          <w:p w14:paraId="3C65596D">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1054.58</w:t>
            </w:r>
          </w:p>
        </w:tc>
        <w:tc>
          <w:tcPr>
            <w:tcW w:w="0" w:type="auto"/>
            <w:tcBorders>
              <w:top w:val="nil"/>
              <w:left w:val="nil"/>
              <w:bottom w:val="single" w:color="000000" w:sz="8" w:space="0"/>
              <w:right w:val="single" w:color="000000" w:sz="8" w:space="0"/>
            </w:tcBorders>
            <w:shd w:val="clear" w:color="auto" w:fill="auto"/>
            <w:noWrap/>
            <w:vAlign w:val="center"/>
          </w:tcPr>
          <w:p w14:paraId="2201AE55">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-82.08</w:t>
            </w:r>
          </w:p>
        </w:tc>
        <w:tc>
          <w:tcPr>
            <w:tcW w:w="0" w:type="auto"/>
            <w:tcBorders>
              <w:top w:val="nil"/>
              <w:left w:val="nil"/>
              <w:bottom w:val="single" w:color="000000" w:sz="8" w:space="0"/>
              <w:right w:val="single" w:color="000000" w:sz="8" w:space="0"/>
            </w:tcBorders>
            <w:shd w:val="clear" w:color="auto" w:fill="auto"/>
            <w:noWrap/>
            <w:vAlign w:val="center"/>
          </w:tcPr>
          <w:p w14:paraId="54B9060F">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-6%</w:t>
            </w:r>
          </w:p>
        </w:tc>
        <w:tc>
          <w:tcPr>
            <w:tcW w:w="0" w:type="auto"/>
            <w:tcBorders>
              <w:top w:val="nil"/>
              <w:left w:val="nil"/>
              <w:bottom w:val="single" w:color="000000" w:sz="8" w:space="0"/>
              <w:right w:val="single" w:color="000000" w:sz="8" w:space="0"/>
            </w:tcBorders>
            <w:shd w:val="clear" w:color="auto" w:fill="auto"/>
            <w:noWrap/>
            <w:vAlign w:val="center"/>
          </w:tcPr>
          <w:p w14:paraId="6A678A6A">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p>
        </w:tc>
      </w:tr>
      <w:tr w14:paraId="36D7C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76F305DC">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2023</w:t>
            </w:r>
          </w:p>
        </w:tc>
        <w:tc>
          <w:tcPr>
            <w:tcW w:w="0" w:type="auto"/>
            <w:tcBorders>
              <w:top w:val="nil"/>
              <w:left w:val="nil"/>
              <w:bottom w:val="single" w:color="000000" w:sz="8" w:space="0"/>
              <w:right w:val="single" w:color="000000" w:sz="8" w:space="0"/>
            </w:tcBorders>
            <w:shd w:val="clear" w:color="auto" w:fill="auto"/>
            <w:noWrap/>
            <w:vAlign w:val="center"/>
          </w:tcPr>
          <w:p w14:paraId="58307BD1">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23532.2</w:t>
            </w:r>
          </w:p>
        </w:tc>
        <w:tc>
          <w:tcPr>
            <w:tcW w:w="0" w:type="auto"/>
            <w:tcBorders>
              <w:top w:val="nil"/>
              <w:left w:val="nil"/>
              <w:bottom w:val="single" w:color="000000" w:sz="8" w:space="0"/>
              <w:right w:val="single" w:color="000000" w:sz="8" w:space="0"/>
            </w:tcBorders>
            <w:shd w:val="clear" w:color="auto" w:fill="auto"/>
            <w:noWrap/>
            <w:vAlign w:val="center"/>
          </w:tcPr>
          <w:p w14:paraId="051507E4">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w:t>
            </w:r>
          </w:p>
        </w:tc>
        <w:tc>
          <w:tcPr>
            <w:tcW w:w="0" w:type="auto"/>
            <w:tcBorders>
              <w:top w:val="nil"/>
              <w:left w:val="nil"/>
              <w:bottom w:val="single" w:color="000000" w:sz="8" w:space="0"/>
              <w:right w:val="single" w:color="000000" w:sz="8" w:space="0"/>
            </w:tcBorders>
            <w:shd w:val="clear" w:color="auto" w:fill="auto"/>
            <w:noWrap/>
            <w:vAlign w:val="center"/>
          </w:tcPr>
          <w:p w14:paraId="2BCC01D9">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17322.16</w:t>
            </w:r>
          </w:p>
        </w:tc>
        <w:tc>
          <w:tcPr>
            <w:tcW w:w="0" w:type="auto"/>
            <w:tcBorders>
              <w:top w:val="nil"/>
              <w:left w:val="nil"/>
              <w:bottom w:val="single" w:color="000000" w:sz="8" w:space="0"/>
              <w:right w:val="single" w:color="000000" w:sz="8" w:space="0"/>
            </w:tcBorders>
            <w:shd w:val="clear" w:color="auto" w:fill="auto"/>
            <w:noWrap/>
            <w:vAlign w:val="center"/>
          </w:tcPr>
          <w:p w14:paraId="406926FF">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-3%</w:t>
            </w:r>
          </w:p>
        </w:tc>
        <w:tc>
          <w:tcPr>
            <w:tcW w:w="0" w:type="auto"/>
            <w:tcBorders>
              <w:top w:val="nil"/>
              <w:left w:val="nil"/>
              <w:bottom w:val="single" w:color="000000" w:sz="8" w:space="0"/>
              <w:right w:val="single" w:color="000000" w:sz="8" w:space="0"/>
            </w:tcBorders>
            <w:shd w:val="clear" w:color="auto" w:fill="auto"/>
            <w:noWrap/>
            <w:vAlign w:val="center"/>
          </w:tcPr>
          <w:p w14:paraId="6C5F8D82">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12428.4</w:t>
            </w:r>
          </w:p>
        </w:tc>
        <w:tc>
          <w:tcPr>
            <w:tcW w:w="0" w:type="auto"/>
            <w:tcBorders>
              <w:top w:val="nil"/>
              <w:left w:val="nil"/>
              <w:bottom w:val="single" w:color="000000" w:sz="8" w:space="0"/>
              <w:right w:val="single" w:color="000000" w:sz="8" w:space="0"/>
            </w:tcBorders>
            <w:shd w:val="clear" w:color="auto" w:fill="auto"/>
            <w:noWrap/>
            <w:vAlign w:val="center"/>
          </w:tcPr>
          <w:p w14:paraId="0A64884B">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74%</w:t>
            </w:r>
          </w:p>
        </w:tc>
        <w:tc>
          <w:tcPr>
            <w:tcW w:w="0" w:type="auto"/>
            <w:tcBorders>
              <w:top w:val="nil"/>
              <w:left w:val="nil"/>
              <w:bottom w:val="single" w:color="000000" w:sz="8" w:space="0"/>
              <w:right w:val="single" w:color="000000" w:sz="8" w:space="0"/>
            </w:tcBorders>
            <w:shd w:val="clear" w:color="auto" w:fill="auto"/>
            <w:noWrap/>
            <w:vAlign w:val="center"/>
          </w:tcPr>
          <w:p w14:paraId="0D47B29D">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1673.52</w:t>
            </w:r>
          </w:p>
        </w:tc>
        <w:tc>
          <w:tcPr>
            <w:tcW w:w="0" w:type="auto"/>
            <w:tcBorders>
              <w:top w:val="nil"/>
              <w:left w:val="nil"/>
              <w:bottom w:val="single" w:color="000000" w:sz="8" w:space="0"/>
              <w:right w:val="single" w:color="000000" w:sz="8" w:space="0"/>
            </w:tcBorders>
            <w:shd w:val="clear" w:color="auto" w:fill="auto"/>
            <w:noWrap/>
            <w:vAlign w:val="center"/>
          </w:tcPr>
          <w:p w14:paraId="2EED44B4">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13%</w:t>
            </w:r>
          </w:p>
        </w:tc>
        <w:tc>
          <w:tcPr>
            <w:tcW w:w="0" w:type="auto"/>
            <w:tcBorders>
              <w:top w:val="nil"/>
              <w:left w:val="nil"/>
              <w:bottom w:val="single" w:color="000000" w:sz="8" w:space="0"/>
              <w:right w:val="single" w:color="000000" w:sz="8" w:space="0"/>
            </w:tcBorders>
            <w:shd w:val="clear" w:color="auto" w:fill="auto"/>
            <w:noWrap/>
            <w:vAlign w:val="center"/>
          </w:tcPr>
          <w:p w14:paraId="2285ABC3">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821.09</w:t>
            </w:r>
          </w:p>
        </w:tc>
        <w:tc>
          <w:tcPr>
            <w:tcW w:w="0" w:type="auto"/>
            <w:tcBorders>
              <w:top w:val="nil"/>
              <w:left w:val="nil"/>
              <w:bottom w:val="single" w:color="000000" w:sz="8" w:space="0"/>
              <w:right w:val="single" w:color="000000" w:sz="8" w:space="0"/>
            </w:tcBorders>
            <w:shd w:val="clear" w:color="auto" w:fill="auto"/>
            <w:noWrap/>
            <w:vAlign w:val="center"/>
          </w:tcPr>
          <w:p w14:paraId="69C722C6">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141.35</w:t>
            </w:r>
          </w:p>
        </w:tc>
        <w:tc>
          <w:tcPr>
            <w:tcW w:w="0" w:type="auto"/>
            <w:tcBorders>
              <w:top w:val="nil"/>
              <w:left w:val="nil"/>
              <w:bottom w:val="single" w:color="000000" w:sz="8" w:space="0"/>
              <w:right w:val="single" w:color="000000" w:sz="8" w:space="0"/>
            </w:tcBorders>
            <w:shd w:val="clear" w:color="auto" w:fill="auto"/>
            <w:noWrap/>
            <w:vAlign w:val="center"/>
          </w:tcPr>
          <w:p w14:paraId="601C368A">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8%</w:t>
            </w:r>
          </w:p>
        </w:tc>
        <w:tc>
          <w:tcPr>
            <w:tcW w:w="0" w:type="auto"/>
            <w:tcBorders>
              <w:top w:val="nil"/>
              <w:left w:val="nil"/>
              <w:bottom w:val="single" w:color="000000" w:sz="8" w:space="0"/>
              <w:right w:val="single" w:color="000000" w:sz="8" w:space="0"/>
            </w:tcBorders>
            <w:shd w:val="clear" w:color="auto" w:fill="auto"/>
            <w:noWrap/>
            <w:vAlign w:val="center"/>
          </w:tcPr>
          <w:p w14:paraId="3F56C932">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p>
        </w:tc>
      </w:tr>
      <w:tr w14:paraId="60A33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47263A22">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板块</w:t>
            </w:r>
          </w:p>
        </w:tc>
        <w:tc>
          <w:tcPr>
            <w:tcW w:w="0" w:type="auto"/>
            <w:gridSpan w:val="12"/>
            <w:tcBorders>
              <w:top w:val="nil"/>
              <w:left w:val="nil"/>
              <w:bottom w:val="single" w:color="000000" w:sz="8" w:space="0"/>
              <w:right w:val="single" w:color="000000" w:sz="8" w:space="0"/>
            </w:tcBorders>
            <w:shd w:val="clear" w:color="auto" w:fill="auto"/>
            <w:noWrap/>
            <w:vAlign w:val="center"/>
          </w:tcPr>
          <w:p w14:paraId="7CDC9FEC">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能源板块</w:t>
            </w:r>
          </w:p>
        </w:tc>
      </w:tr>
      <w:tr w14:paraId="4E7F0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73A487ED">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公司名称</w:t>
            </w:r>
          </w:p>
        </w:tc>
        <w:tc>
          <w:tcPr>
            <w:tcW w:w="0" w:type="auto"/>
            <w:gridSpan w:val="12"/>
            <w:tcBorders>
              <w:top w:val="nil"/>
              <w:left w:val="nil"/>
              <w:bottom w:val="single" w:color="000000" w:sz="8" w:space="0"/>
              <w:right w:val="single" w:color="000000" w:sz="8" w:space="0"/>
            </w:tcBorders>
            <w:shd w:val="clear" w:color="auto" w:fill="auto"/>
            <w:noWrap/>
            <w:vAlign w:val="center"/>
          </w:tcPr>
          <w:p w14:paraId="7C061131">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且末县通力水电有限责任公司</w:t>
            </w:r>
          </w:p>
        </w:tc>
      </w:tr>
      <w:tr w14:paraId="06554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6FC413DB">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科目（万元，%）</w:t>
            </w:r>
          </w:p>
        </w:tc>
        <w:tc>
          <w:tcPr>
            <w:tcW w:w="0" w:type="auto"/>
            <w:tcBorders>
              <w:top w:val="nil"/>
              <w:left w:val="nil"/>
              <w:bottom w:val="single" w:color="000000" w:sz="8" w:space="0"/>
              <w:right w:val="single" w:color="000000" w:sz="8" w:space="0"/>
            </w:tcBorders>
            <w:shd w:val="clear" w:color="auto" w:fill="auto"/>
            <w:noWrap/>
            <w:vAlign w:val="center"/>
          </w:tcPr>
          <w:p w14:paraId="7EC155C6">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总资产</w:t>
            </w:r>
          </w:p>
        </w:tc>
        <w:tc>
          <w:tcPr>
            <w:tcW w:w="0" w:type="auto"/>
            <w:tcBorders>
              <w:top w:val="nil"/>
              <w:left w:val="nil"/>
              <w:bottom w:val="single" w:color="000000" w:sz="8" w:space="0"/>
              <w:right w:val="single" w:color="000000" w:sz="8" w:space="0"/>
            </w:tcBorders>
            <w:shd w:val="clear" w:color="auto" w:fill="auto"/>
            <w:noWrap/>
            <w:vAlign w:val="center"/>
          </w:tcPr>
          <w:p w14:paraId="54F615F2">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同比</w:t>
            </w:r>
          </w:p>
        </w:tc>
        <w:tc>
          <w:tcPr>
            <w:tcW w:w="0" w:type="auto"/>
            <w:tcBorders>
              <w:top w:val="nil"/>
              <w:left w:val="nil"/>
              <w:bottom w:val="single" w:color="000000" w:sz="8" w:space="0"/>
              <w:right w:val="single" w:color="000000" w:sz="8" w:space="0"/>
            </w:tcBorders>
            <w:shd w:val="clear" w:color="auto" w:fill="auto"/>
            <w:noWrap/>
            <w:vAlign w:val="center"/>
          </w:tcPr>
          <w:p w14:paraId="20CB41FE">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总负债</w:t>
            </w:r>
          </w:p>
        </w:tc>
        <w:tc>
          <w:tcPr>
            <w:tcW w:w="0" w:type="auto"/>
            <w:tcBorders>
              <w:top w:val="nil"/>
              <w:left w:val="nil"/>
              <w:bottom w:val="single" w:color="000000" w:sz="8" w:space="0"/>
              <w:right w:val="single" w:color="000000" w:sz="8" w:space="0"/>
            </w:tcBorders>
            <w:shd w:val="clear" w:color="auto" w:fill="auto"/>
            <w:noWrap/>
            <w:vAlign w:val="center"/>
          </w:tcPr>
          <w:p w14:paraId="37E372C8">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同比</w:t>
            </w:r>
          </w:p>
        </w:tc>
        <w:tc>
          <w:tcPr>
            <w:tcW w:w="0" w:type="auto"/>
            <w:tcBorders>
              <w:top w:val="nil"/>
              <w:left w:val="nil"/>
              <w:bottom w:val="single" w:color="000000" w:sz="8" w:space="0"/>
              <w:right w:val="single" w:color="000000" w:sz="8" w:space="0"/>
            </w:tcBorders>
            <w:shd w:val="clear" w:color="auto" w:fill="auto"/>
            <w:noWrap/>
            <w:vAlign w:val="center"/>
          </w:tcPr>
          <w:p w14:paraId="3FF49EBA">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有息负债</w:t>
            </w:r>
          </w:p>
        </w:tc>
        <w:tc>
          <w:tcPr>
            <w:tcW w:w="0" w:type="auto"/>
            <w:tcBorders>
              <w:top w:val="nil"/>
              <w:left w:val="nil"/>
              <w:bottom w:val="single" w:color="000000" w:sz="8" w:space="0"/>
              <w:right w:val="single" w:color="000000" w:sz="8" w:space="0"/>
            </w:tcBorders>
            <w:shd w:val="clear" w:color="auto" w:fill="auto"/>
            <w:noWrap/>
            <w:vAlign w:val="center"/>
          </w:tcPr>
          <w:p w14:paraId="12D00C91">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资产负债率</w:t>
            </w:r>
          </w:p>
        </w:tc>
        <w:tc>
          <w:tcPr>
            <w:tcW w:w="0" w:type="auto"/>
            <w:tcBorders>
              <w:top w:val="nil"/>
              <w:left w:val="nil"/>
              <w:bottom w:val="single" w:color="000000" w:sz="8" w:space="0"/>
              <w:right w:val="single" w:color="000000" w:sz="8" w:space="0"/>
            </w:tcBorders>
            <w:shd w:val="clear" w:color="auto" w:fill="auto"/>
            <w:noWrap/>
            <w:vAlign w:val="center"/>
          </w:tcPr>
          <w:p w14:paraId="66C2236D">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营业收入</w:t>
            </w:r>
          </w:p>
        </w:tc>
        <w:tc>
          <w:tcPr>
            <w:tcW w:w="0" w:type="auto"/>
            <w:tcBorders>
              <w:top w:val="nil"/>
              <w:left w:val="nil"/>
              <w:bottom w:val="single" w:color="000000" w:sz="8" w:space="0"/>
              <w:right w:val="single" w:color="000000" w:sz="8" w:space="0"/>
            </w:tcBorders>
            <w:shd w:val="clear" w:color="auto" w:fill="auto"/>
            <w:noWrap/>
            <w:vAlign w:val="center"/>
          </w:tcPr>
          <w:p w14:paraId="3CF30562">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同比</w:t>
            </w:r>
          </w:p>
        </w:tc>
        <w:tc>
          <w:tcPr>
            <w:tcW w:w="0" w:type="auto"/>
            <w:tcBorders>
              <w:top w:val="nil"/>
              <w:left w:val="nil"/>
              <w:bottom w:val="single" w:color="000000" w:sz="8" w:space="0"/>
              <w:right w:val="single" w:color="000000" w:sz="8" w:space="0"/>
            </w:tcBorders>
            <w:shd w:val="clear" w:color="auto" w:fill="auto"/>
            <w:noWrap/>
            <w:vAlign w:val="center"/>
          </w:tcPr>
          <w:p w14:paraId="7BD525B7">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营业成本</w:t>
            </w:r>
          </w:p>
        </w:tc>
        <w:tc>
          <w:tcPr>
            <w:tcW w:w="0" w:type="auto"/>
            <w:tcBorders>
              <w:top w:val="nil"/>
              <w:left w:val="nil"/>
              <w:bottom w:val="single" w:color="000000" w:sz="8" w:space="0"/>
              <w:right w:val="single" w:color="000000" w:sz="8" w:space="0"/>
            </w:tcBorders>
            <w:shd w:val="clear" w:color="auto" w:fill="auto"/>
            <w:noWrap/>
            <w:vAlign w:val="center"/>
          </w:tcPr>
          <w:p w14:paraId="05DA5B6A">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净利润</w:t>
            </w:r>
          </w:p>
        </w:tc>
        <w:tc>
          <w:tcPr>
            <w:tcW w:w="0" w:type="auto"/>
            <w:tcBorders>
              <w:top w:val="nil"/>
              <w:left w:val="nil"/>
              <w:bottom w:val="single" w:color="000000" w:sz="8" w:space="0"/>
              <w:right w:val="single" w:color="000000" w:sz="8" w:space="0"/>
            </w:tcBorders>
            <w:shd w:val="clear" w:color="auto" w:fill="auto"/>
            <w:noWrap/>
            <w:vAlign w:val="center"/>
          </w:tcPr>
          <w:p w14:paraId="37E92246">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净利率</w:t>
            </w:r>
          </w:p>
        </w:tc>
        <w:tc>
          <w:tcPr>
            <w:tcW w:w="0" w:type="auto"/>
            <w:tcBorders>
              <w:top w:val="nil"/>
              <w:left w:val="nil"/>
              <w:bottom w:val="single" w:color="000000" w:sz="8" w:space="0"/>
              <w:right w:val="single" w:color="000000" w:sz="8" w:space="0"/>
            </w:tcBorders>
            <w:shd w:val="clear" w:color="auto" w:fill="auto"/>
            <w:noWrap/>
            <w:vAlign w:val="center"/>
          </w:tcPr>
          <w:p w14:paraId="3747A295">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经营性净现金流</w:t>
            </w:r>
          </w:p>
        </w:tc>
      </w:tr>
      <w:tr w14:paraId="0E193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6A2CFB01">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2021</w:t>
            </w:r>
          </w:p>
        </w:tc>
        <w:tc>
          <w:tcPr>
            <w:tcW w:w="0" w:type="auto"/>
            <w:tcBorders>
              <w:top w:val="nil"/>
              <w:left w:val="nil"/>
              <w:bottom w:val="single" w:color="000000" w:sz="8" w:space="0"/>
              <w:right w:val="single" w:color="000000" w:sz="8" w:space="0"/>
            </w:tcBorders>
            <w:shd w:val="clear" w:color="auto" w:fill="auto"/>
            <w:noWrap/>
            <w:vAlign w:val="center"/>
          </w:tcPr>
          <w:p w14:paraId="1E98ADFC">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3211.08</w:t>
            </w:r>
          </w:p>
        </w:tc>
        <w:tc>
          <w:tcPr>
            <w:tcW w:w="0" w:type="auto"/>
            <w:tcBorders>
              <w:top w:val="nil"/>
              <w:left w:val="nil"/>
              <w:bottom w:val="single" w:color="000000" w:sz="8" w:space="0"/>
              <w:right w:val="single" w:color="000000" w:sz="8" w:space="0"/>
            </w:tcBorders>
            <w:shd w:val="clear" w:color="auto" w:fill="auto"/>
            <w:noWrap/>
            <w:vAlign w:val="center"/>
          </w:tcPr>
          <w:p w14:paraId="4A519A15">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p>
        </w:tc>
        <w:tc>
          <w:tcPr>
            <w:tcW w:w="0" w:type="auto"/>
            <w:tcBorders>
              <w:top w:val="nil"/>
              <w:left w:val="nil"/>
              <w:bottom w:val="single" w:color="000000" w:sz="8" w:space="0"/>
              <w:right w:val="single" w:color="000000" w:sz="8" w:space="0"/>
            </w:tcBorders>
            <w:shd w:val="clear" w:color="auto" w:fill="auto"/>
            <w:noWrap/>
            <w:vAlign w:val="center"/>
          </w:tcPr>
          <w:p w14:paraId="70D1C8BD">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26.6</w:t>
            </w:r>
          </w:p>
        </w:tc>
        <w:tc>
          <w:tcPr>
            <w:tcW w:w="0" w:type="auto"/>
            <w:tcBorders>
              <w:top w:val="nil"/>
              <w:left w:val="nil"/>
              <w:bottom w:val="single" w:color="000000" w:sz="8" w:space="0"/>
              <w:right w:val="single" w:color="000000" w:sz="8" w:space="0"/>
            </w:tcBorders>
            <w:shd w:val="clear" w:color="auto" w:fill="auto"/>
            <w:noWrap/>
            <w:vAlign w:val="center"/>
          </w:tcPr>
          <w:p w14:paraId="79DC59E5">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p>
        </w:tc>
        <w:tc>
          <w:tcPr>
            <w:tcW w:w="0" w:type="auto"/>
            <w:tcBorders>
              <w:top w:val="nil"/>
              <w:left w:val="nil"/>
              <w:bottom w:val="single" w:color="000000" w:sz="8" w:space="0"/>
              <w:right w:val="single" w:color="000000" w:sz="8" w:space="0"/>
            </w:tcBorders>
            <w:shd w:val="clear" w:color="auto" w:fill="auto"/>
            <w:noWrap/>
            <w:vAlign w:val="center"/>
          </w:tcPr>
          <w:p w14:paraId="7F475F17">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0</w:t>
            </w:r>
          </w:p>
        </w:tc>
        <w:tc>
          <w:tcPr>
            <w:tcW w:w="0" w:type="auto"/>
            <w:tcBorders>
              <w:top w:val="nil"/>
              <w:left w:val="nil"/>
              <w:bottom w:val="single" w:color="000000" w:sz="8" w:space="0"/>
              <w:right w:val="single" w:color="000000" w:sz="8" w:space="0"/>
            </w:tcBorders>
            <w:shd w:val="clear" w:color="auto" w:fill="auto"/>
            <w:noWrap/>
            <w:vAlign w:val="center"/>
          </w:tcPr>
          <w:p w14:paraId="543C19D7">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w:t>
            </w:r>
          </w:p>
        </w:tc>
        <w:tc>
          <w:tcPr>
            <w:tcW w:w="0" w:type="auto"/>
            <w:tcBorders>
              <w:top w:val="nil"/>
              <w:left w:val="nil"/>
              <w:bottom w:val="single" w:color="000000" w:sz="8" w:space="0"/>
              <w:right w:val="single" w:color="000000" w:sz="8" w:space="0"/>
            </w:tcBorders>
            <w:shd w:val="clear" w:color="auto" w:fill="auto"/>
            <w:noWrap/>
            <w:vAlign w:val="center"/>
          </w:tcPr>
          <w:p w14:paraId="3A9344FE">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232.62</w:t>
            </w:r>
          </w:p>
        </w:tc>
        <w:tc>
          <w:tcPr>
            <w:tcW w:w="0" w:type="auto"/>
            <w:tcBorders>
              <w:top w:val="nil"/>
              <w:left w:val="nil"/>
              <w:bottom w:val="single" w:color="000000" w:sz="8" w:space="0"/>
              <w:right w:val="single" w:color="000000" w:sz="8" w:space="0"/>
            </w:tcBorders>
            <w:shd w:val="clear" w:color="auto" w:fill="auto"/>
            <w:noWrap/>
            <w:vAlign w:val="center"/>
          </w:tcPr>
          <w:p w14:paraId="22B70194">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p>
        </w:tc>
        <w:tc>
          <w:tcPr>
            <w:tcW w:w="0" w:type="auto"/>
            <w:tcBorders>
              <w:top w:val="nil"/>
              <w:left w:val="nil"/>
              <w:bottom w:val="single" w:color="000000" w:sz="8" w:space="0"/>
              <w:right w:val="single" w:color="000000" w:sz="8" w:space="0"/>
            </w:tcBorders>
            <w:shd w:val="clear" w:color="auto" w:fill="auto"/>
            <w:noWrap/>
            <w:vAlign w:val="center"/>
          </w:tcPr>
          <w:p w14:paraId="750F93E5">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219.09</w:t>
            </w:r>
          </w:p>
        </w:tc>
        <w:tc>
          <w:tcPr>
            <w:tcW w:w="0" w:type="auto"/>
            <w:tcBorders>
              <w:top w:val="nil"/>
              <w:left w:val="nil"/>
              <w:bottom w:val="single" w:color="000000" w:sz="8" w:space="0"/>
              <w:right w:val="single" w:color="000000" w:sz="8" w:space="0"/>
            </w:tcBorders>
            <w:shd w:val="clear" w:color="auto" w:fill="auto"/>
            <w:noWrap/>
            <w:vAlign w:val="center"/>
          </w:tcPr>
          <w:p w14:paraId="5ECE16C5">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-8.02</w:t>
            </w:r>
          </w:p>
        </w:tc>
        <w:tc>
          <w:tcPr>
            <w:tcW w:w="0" w:type="auto"/>
            <w:tcBorders>
              <w:top w:val="nil"/>
              <w:left w:val="nil"/>
              <w:bottom w:val="single" w:color="000000" w:sz="8" w:space="0"/>
              <w:right w:val="single" w:color="000000" w:sz="8" w:space="0"/>
            </w:tcBorders>
            <w:shd w:val="clear" w:color="auto" w:fill="auto"/>
            <w:noWrap/>
            <w:vAlign w:val="center"/>
          </w:tcPr>
          <w:p w14:paraId="4A359FB9">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3%</w:t>
            </w:r>
          </w:p>
        </w:tc>
        <w:tc>
          <w:tcPr>
            <w:tcW w:w="0" w:type="auto"/>
            <w:tcBorders>
              <w:top w:val="nil"/>
              <w:left w:val="nil"/>
              <w:bottom w:val="single" w:color="000000" w:sz="8" w:space="0"/>
              <w:right w:val="single" w:color="000000" w:sz="8" w:space="0"/>
            </w:tcBorders>
            <w:shd w:val="clear" w:color="auto" w:fill="auto"/>
            <w:noWrap/>
            <w:vAlign w:val="center"/>
          </w:tcPr>
          <w:p w14:paraId="62A9457E">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p>
        </w:tc>
      </w:tr>
      <w:tr w14:paraId="7941E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24BAF573">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2022</w:t>
            </w:r>
          </w:p>
        </w:tc>
        <w:tc>
          <w:tcPr>
            <w:tcW w:w="0" w:type="auto"/>
            <w:tcBorders>
              <w:top w:val="nil"/>
              <w:left w:val="nil"/>
              <w:bottom w:val="single" w:color="000000" w:sz="8" w:space="0"/>
              <w:right w:val="single" w:color="000000" w:sz="8" w:space="0"/>
            </w:tcBorders>
            <w:shd w:val="clear" w:color="auto" w:fill="auto"/>
            <w:noWrap/>
            <w:vAlign w:val="center"/>
          </w:tcPr>
          <w:p w14:paraId="69F2B363">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3330.41</w:t>
            </w:r>
          </w:p>
        </w:tc>
        <w:tc>
          <w:tcPr>
            <w:tcW w:w="0" w:type="auto"/>
            <w:tcBorders>
              <w:top w:val="nil"/>
              <w:left w:val="nil"/>
              <w:bottom w:val="single" w:color="000000" w:sz="8" w:space="0"/>
              <w:right w:val="single" w:color="000000" w:sz="8" w:space="0"/>
            </w:tcBorders>
            <w:shd w:val="clear" w:color="auto" w:fill="auto"/>
            <w:noWrap/>
            <w:vAlign w:val="center"/>
          </w:tcPr>
          <w:p w14:paraId="46A9A1B2">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4%</w:t>
            </w:r>
          </w:p>
        </w:tc>
        <w:tc>
          <w:tcPr>
            <w:tcW w:w="0" w:type="auto"/>
            <w:tcBorders>
              <w:top w:val="nil"/>
              <w:left w:val="nil"/>
              <w:bottom w:val="single" w:color="000000" w:sz="8" w:space="0"/>
              <w:right w:val="single" w:color="000000" w:sz="8" w:space="0"/>
            </w:tcBorders>
            <w:shd w:val="clear" w:color="auto" w:fill="auto"/>
            <w:noWrap/>
            <w:vAlign w:val="center"/>
          </w:tcPr>
          <w:p w14:paraId="72215505">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147.65</w:t>
            </w:r>
          </w:p>
        </w:tc>
        <w:tc>
          <w:tcPr>
            <w:tcW w:w="0" w:type="auto"/>
            <w:tcBorders>
              <w:top w:val="nil"/>
              <w:left w:val="nil"/>
              <w:bottom w:val="single" w:color="000000" w:sz="8" w:space="0"/>
              <w:right w:val="single" w:color="000000" w:sz="8" w:space="0"/>
            </w:tcBorders>
            <w:shd w:val="clear" w:color="auto" w:fill="auto"/>
            <w:noWrap/>
            <w:vAlign w:val="center"/>
          </w:tcPr>
          <w:p w14:paraId="1B5F1EEB">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82%</w:t>
            </w:r>
          </w:p>
        </w:tc>
        <w:tc>
          <w:tcPr>
            <w:tcW w:w="0" w:type="auto"/>
            <w:tcBorders>
              <w:top w:val="nil"/>
              <w:left w:val="nil"/>
              <w:bottom w:val="single" w:color="000000" w:sz="8" w:space="0"/>
              <w:right w:val="single" w:color="000000" w:sz="8" w:space="0"/>
            </w:tcBorders>
            <w:shd w:val="clear" w:color="auto" w:fill="auto"/>
            <w:noWrap/>
            <w:vAlign w:val="center"/>
          </w:tcPr>
          <w:p w14:paraId="1202147E">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0</w:t>
            </w:r>
          </w:p>
        </w:tc>
        <w:tc>
          <w:tcPr>
            <w:tcW w:w="0" w:type="auto"/>
            <w:tcBorders>
              <w:top w:val="nil"/>
              <w:left w:val="nil"/>
              <w:bottom w:val="single" w:color="000000" w:sz="8" w:space="0"/>
              <w:right w:val="single" w:color="000000" w:sz="8" w:space="0"/>
            </w:tcBorders>
            <w:shd w:val="clear" w:color="auto" w:fill="auto"/>
            <w:noWrap/>
            <w:vAlign w:val="center"/>
          </w:tcPr>
          <w:p w14:paraId="54AE92FD">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4%</w:t>
            </w:r>
          </w:p>
        </w:tc>
        <w:tc>
          <w:tcPr>
            <w:tcW w:w="0" w:type="auto"/>
            <w:tcBorders>
              <w:top w:val="nil"/>
              <w:left w:val="nil"/>
              <w:bottom w:val="single" w:color="000000" w:sz="8" w:space="0"/>
              <w:right w:val="single" w:color="000000" w:sz="8" w:space="0"/>
            </w:tcBorders>
            <w:shd w:val="clear" w:color="auto" w:fill="auto"/>
            <w:noWrap/>
            <w:vAlign w:val="center"/>
          </w:tcPr>
          <w:p w14:paraId="761361F9">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336.92</w:t>
            </w:r>
          </w:p>
        </w:tc>
        <w:tc>
          <w:tcPr>
            <w:tcW w:w="0" w:type="auto"/>
            <w:tcBorders>
              <w:top w:val="nil"/>
              <w:left w:val="nil"/>
              <w:bottom w:val="single" w:color="000000" w:sz="8" w:space="0"/>
              <w:right w:val="single" w:color="000000" w:sz="8" w:space="0"/>
            </w:tcBorders>
            <w:shd w:val="clear" w:color="auto" w:fill="auto"/>
            <w:noWrap/>
            <w:vAlign w:val="center"/>
          </w:tcPr>
          <w:p w14:paraId="2CE692E6">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31%</w:t>
            </w:r>
          </w:p>
        </w:tc>
        <w:tc>
          <w:tcPr>
            <w:tcW w:w="0" w:type="auto"/>
            <w:tcBorders>
              <w:top w:val="nil"/>
              <w:left w:val="nil"/>
              <w:bottom w:val="single" w:color="000000" w:sz="8" w:space="0"/>
              <w:right w:val="single" w:color="000000" w:sz="8" w:space="0"/>
            </w:tcBorders>
            <w:shd w:val="clear" w:color="auto" w:fill="auto"/>
            <w:noWrap/>
            <w:vAlign w:val="center"/>
          </w:tcPr>
          <w:p w14:paraId="38935785">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316.19</w:t>
            </w:r>
          </w:p>
        </w:tc>
        <w:tc>
          <w:tcPr>
            <w:tcW w:w="0" w:type="auto"/>
            <w:tcBorders>
              <w:top w:val="nil"/>
              <w:left w:val="nil"/>
              <w:bottom w:val="single" w:color="000000" w:sz="8" w:space="0"/>
              <w:right w:val="single" w:color="000000" w:sz="8" w:space="0"/>
            </w:tcBorders>
            <w:shd w:val="clear" w:color="auto" w:fill="auto"/>
            <w:noWrap/>
            <w:vAlign w:val="center"/>
          </w:tcPr>
          <w:p w14:paraId="5BB453BF">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-3.06</w:t>
            </w:r>
          </w:p>
        </w:tc>
        <w:tc>
          <w:tcPr>
            <w:tcW w:w="0" w:type="auto"/>
            <w:tcBorders>
              <w:top w:val="nil"/>
              <w:left w:val="nil"/>
              <w:bottom w:val="single" w:color="000000" w:sz="8" w:space="0"/>
              <w:right w:val="single" w:color="000000" w:sz="8" w:space="0"/>
            </w:tcBorders>
            <w:shd w:val="clear" w:color="auto" w:fill="auto"/>
            <w:noWrap/>
            <w:vAlign w:val="center"/>
          </w:tcPr>
          <w:p w14:paraId="53A9F4D7">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w:t>
            </w:r>
          </w:p>
        </w:tc>
        <w:tc>
          <w:tcPr>
            <w:tcW w:w="0" w:type="auto"/>
            <w:tcBorders>
              <w:top w:val="nil"/>
              <w:left w:val="nil"/>
              <w:bottom w:val="single" w:color="000000" w:sz="8" w:space="0"/>
              <w:right w:val="single" w:color="000000" w:sz="8" w:space="0"/>
            </w:tcBorders>
            <w:shd w:val="clear" w:color="auto" w:fill="auto"/>
            <w:noWrap/>
            <w:vAlign w:val="center"/>
          </w:tcPr>
          <w:p w14:paraId="2D180B4F">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p>
        </w:tc>
      </w:tr>
      <w:tr w14:paraId="17ADA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6C68762E">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2023</w:t>
            </w:r>
          </w:p>
        </w:tc>
        <w:tc>
          <w:tcPr>
            <w:tcW w:w="0" w:type="auto"/>
            <w:tcBorders>
              <w:top w:val="nil"/>
              <w:left w:val="nil"/>
              <w:bottom w:val="single" w:color="000000" w:sz="8" w:space="0"/>
              <w:right w:val="single" w:color="000000" w:sz="8" w:space="0"/>
            </w:tcBorders>
            <w:shd w:val="clear" w:color="auto" w:fill="auto"/>
            <w:noWrap/>
            <w:vAlign w:val="center"/>
          </w:tcPr>
          <w:p w14:paraId="005256CF">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2413.73</w:t>
            </w:r>
          </w:p>
        </w:tc>
        <w:tc>
          <w:tcPr>
            <w:tcW w:w="0" w:type="auto"/>
            <w:tcBorders>
              <w:top w:val="nil"/>
              <w:left w:val="nil"/>
              <w:bottom w:val="single" w:color="000000" w:sz="8" w:space="0"/>
              <w:right w:val="single" w:color="000000" w:sz="8" w:space="0"/>
            </w:tcBorders>
            <w:shd w:val="clear" w:color="auto" w:fill="auto"/>
            <w:noWrap/>
            <w:vAlign w:val="center"/>
          </w:tcPr>
          <w:p w14:paraId="7DD54C2D">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-38%</w:t>
            </w:r>
          </w:p>
        </w:tc>
        <w:tc>
          <w:tcPr>
            <w:tcW w:w="0" w:type="auto"/>
            <w:tcBorders>
              <w:top w:val="nil"/>
              <w:left w:val="nil"/>
              <w:bottom w:val="single" w:color="000000" w:sz="8" w:space="0"/>
              <w:right w:val="single" w:color="000000" w:sz="8" w:space="0"/>
            </w:tcBorders>
            <w:shd w:val="clear" w:color="auto" w:fill="auto"/>
            <w:noWrap/>
            <w:vAlign w:val="center"/>
          </w:tcPr>
          <w:p w14:paraId="1A2C8BBC">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-770.07</w:t>
            </w:r>
          </w:p>
        </w:tc>
        <w:tc>
          <w:tcPr>
            <w:tcW w:w="0" w:type="auto"/>
            <w:tcBorders>
              <w:top w:val="nil"/>
              <w:left w:val="nil"/>
              <w:bottom w:val="single" w:color="000000" w:sz="8" w:space="0"/>
              <w:right w:val="single" w:color="000000" w:sz="8" w:space="0"/>
            </w:tcBorders>
            <w:shd w:val="clear" w:color="auto" w:fill="auto"/>
            <w:noWrap/>
            <w:vAlign w:val="center"/>
          </w:tcPr>
          <w:p w14:paraId="77CF80DD">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119%</w:t>
            </w:r>
          </w:p>
        </w:tc>
        <w:tc>
          <w:tcPr>
            <w:tcW w:w="0" w:type="auto"/>
            <w:tcBorders>
              <w:top w:val="nil"/>
              <w:left w:val="nil"/>
              <w:bottom w:val="single" w:color="000000" w:sz="8" w:space="0"/>
              <w:right w:val="single" w:color="000000" w:sz="8" w:space="0"/>
            </w:tcBorders>
            <w:shd w:val="clear" w:color="auto" w:fill="auto"/>
            <w:noWrap/>
            <w:vAlign w:val="center"/>
          </w:tcPr>
          <w:p w14:paraId="28F16CFB">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0</w:t>
            </w:r>
          </w:p>
        </w:tc>
        <w:tc>
          <w:tcPr>
            <w:tcW w:w="0" w:type="auto"/>
            <w:tcBorders>
              <w:top w:val="nil"/>
              <w:left w:val="nil"/>
              <w:bottom w:val="single" w:color="000000" w:sz="8" w:space="0"/>
              <w:right w:val="single" w:color="000000" w:sz="8" w:space="0"/>
            </w:tcBorders>
            <w:shd w:val="clear" w:color="auto" w:fill="auto"/>
            <w:noWrap/>
            <w:vAlign w:val="center"/>
          </w:tcPr>
          <w:p w14:paraId="6D5A6D98">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-32%</w:t>
            </w:r>
          </w:p>
        </w:tc>
        <w:tc>
          <w:tcPr>
            <w:tcW w:w="0" w:type="auto"/>
            <w:tcBorders>
              <w:top w:val="nil"/>
              <w:left w:val="nil"/>
              <w:bottom w:val="single" w:color="000000" w:sz="8" w:space="0"/>
              <w:right w:val="single" w:color="000000" w:sz="8" w:space="0"/>
            </w:tcBorders>
            <w:shd w:val="clear" w:color="auto" w:fill="auto"/>
            <w:noWrap/>
            <w:vAlign w:val="center"/>
          </w:tcPr>
          <w:p w14:paraId="2E1D55A1">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297.48</w:t>
            </w:r>
          </w:p>
        </w:tc>
        <w:tc>
          <w:tcPr>
            <w:tcW w:w="0" w:type="auto"/>
            <w:tcBorders>
              <w:top w:val="nil"/>
              <w:left w:val="nil"/>
              <w:bottom w:val="single" w:color="000000" w:sz="8" w:space="0"/>
              <w:right w:val="single" w:color="000000" w:sz="8" w:space="0"/>
            </w:tcBorders>
            <w:shd w:val="clear" w:color="auto" w:fill="auto"/>
            <w:noWrap/>
            <w:vAlign w:val="center"/>
          </w:tcPr>
          <w:p w14:paraId="0DBEF4EC">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-13%</w:t>
            </w:r>
          </w:p>
        </w:tc>
        <w:tc>
          <w:tcPr>
            <w:tcW w:w="0" w:type="auto"/>
            <w:tcBorders>
              <w:top w:val="nil"/>
              <w:left w:val="nil"/>
              <w:bottom w:val="single" w:color="000000" w:sz="8" w:space="0"/>
              <w:right w:val="single" w:color="000000" w:sz="8" w:space="0"/>
            </w:tcBorders>
            <w:shd w:val="clear" w:color="auto" w:fill="auto"/>
            <w:noWrap/>
            <w:vAlign w:val="center"/>
          </w:tcPr>
          <w:p w14:paraId="65019C72">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279.86</w:t>
            </w:r>
          </w:p>
        </w:tc>
        <w:tc>
          <w:tcPr>
            <w:tcW w:w="0" w:type="auto"/>
            <w:tcBorders>
              <w:top w:val="nil"/>
              <w:left w:val="nil"/>
              <w:bottom w:val="single" w:color="000000" w:sz="8" w:space="0"/>
              <w:right w:val="single" w:color="000000" w:sz="8" w:space="0"/>
            </w:tcBorders>
            <w:shd w:val="clear" w:color="auto" w:fill="auto"/>
            <w:noWrap/>
            <w:vAlign w:val="center"/>
          </w:tcPr>
          <w:p w14:paraId="5567EB78">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1.53</w:t>
            </w:r>
          </w:p>
        </w:tc>
        <w:tc>
          <w:tcPr>
            <w:tcW w:w="0" w:type="auto"/>
            <w:tcBorders>
              <w:top w:val="nil"/>
              <w:left w:val="nil"/>
              <w:bottom w:val="single" w:color="000000" w:sz="8" w:space="0"/>
              <w:right w:val="single" w:color="000000" w:sz="8" w:space="0"/>
            </w:tcBorders>
            <w:shd w:val="clear" w:color="auto" w:fill="auto"/>
            <w:noWrap/>
            <w:vAlign w:val="center"/>
          </w:tcPr>
          <w:p w14:paraId="72013DCA">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w:t>
            </w:r>
          </w:p>
        </w:tc>
        <w:tc>
          <w:tcPr>
            <w:tcW w:w="0" w:type="auto"/>
            <w:tcBorders>
              <w:top w:val="nil"/>
              <w:left w:val="nil"/>
              <w:bottom w:val="single" w:color="000000" w:sz="8" w:space="0"/>
              <w:right w:val="single" w:color="000000" w:sz="8" w:space="0"/>
            </w:tcBorders>
            <w:shd w:val="clear" w:color="auto" w:fill="auto"/>
            <w:noWrap/>
            <w:vAlign w:val="center"/>
          </w:tcPr>
          <w:p w14:paraId="425E6A8E">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p>
        </w:tc>
      </w:tr>
      <w:tr w14:paraId="6FACB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5A9781F0">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板块</w:t>
            </w:r>
          </w:p>
        </w:tc>
        <w:tc>
          <w:tcPr>
            <w:tcW w:w="0" w:type="auto"/>
            <w:gridSpan w:val="12"/>
            <w:tcBorders>
              <w:top w:val="nil"/>
              <w:left w:val="nil"/>
              <w:bottom w:val="single" w:color="000000" w:sz="8" w:space="0"/>
              <w:right w:val="single" w:color="000000" w:sz="8" w:space="0"/>
            </w:tcBorders>
            <w:shd w:val="clear" w:color="auto" w:fill="auto"/>
            <w:noWrap/>
            <w:vAlign w:val="center"/>
          </w:tcPr>
          <w:p w14:paraId="0429C9E8">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能源板块</w:t>
            </w:r>
          </w:p>
        </w:tc>
      </w:tr>
      <w:tr w14:paraId="0236B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44E0E307">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公司名称</w:t>
            </w:r>
          </w:p>
        </w:tc>
        <w:tc>
          <w:tcPr>
            <w:tcW w:w="0" w:type="auto"/>
            <w:gridSpan w:val="12"/>
            <w:tcBorders>
              <w:top w:val="nil"/>
              <w:left w:val="nil"/>
              <w:bottom w:val="single" w:color="000000" w:sz="8" w:space="0"/>
              <w:right w:val="single" w:color="000000" w:sz="8" w:space="0"/>
            </w:tcBorders>
            <w:shd w:val="clear" w:color="auto" w:fill="auto"/>
            <w:noWrap/>
            <w:vAlign w:val="center"/>
          </w:tcPr>
          <w:p w14:paraId="5ABD4573">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巴州温和水电开发有限公司</w:t>
            </w:r>
          </w:p>
        </w:tc>
      </w:tr>
      <w:tr w14:paraId="2633E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5ED06EAE">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科目（万元，%）</w:t>
            </w:r>
          </w:p>
        </w:tc>
        <w:tc>
          <w:tcPr>
            <w:tcW w:w="0" w:type="auto"/>
            <w:tcBorders>
              <w:top w:val="nil"/>
              <w:left w:val="nil"/>
              <w:bottom w:val="single" w:color="000000" w:sz="8" w:space="0"/>
              <w:right w:val="single" w:color="000000" w:sz="8" w:space="0"/>
            </w:tcBorders>
            <w:shd w:val="clear" w:color="auto" w:fill="auto"/>
            <w:noWrap/>
            <w:vAlign w:val="center"/>
          </w:tcPr>
          <w:p w14:paraId="0C2B104A">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总资产</w:t>
            </w:r>
          </w:p>
        </w:tc>
        <w:tc>
          <w:tcPr>
            <w:tcW w:w="0" w:type="auto"/>
            <w:tcBorders>
              <w:top w:val="nil"/>
              <w:left w:val="nil"/>
              <w:bottom w:val="single" w:color="000000" w:sz="8" w:space="0"/>
              <w:right w:val="single" w:color="000000" w:sz="8" w:space="0"/>
            </w:tcBorders>
            <w:shd w:val="clear" w:color="auto" w:fill="auto"/>
            <w:noWrap/>
            <w:vAlign w:val="center"/>
          </w:tcPr>
          <w:p w14:paraId="1947CB27">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同比</w:t>
            </w:r>
          </w:p>
        </w:tc>
        <w:tc>
          <w:tcPr>
            <w:tcW w:w="0" w:type="auto"/>
            <w:tcBorders>
              <w:top w:val="nil"/>
              <w:left w:val="nil"/>
              <w:bottom w:val="single" w:color="000000" w:sz="8" w:space="0"/>
              <w:right w:val="single" w:color="000000" w:sz="8" w:space="0"/>
            </w:tcBorders>
            <w:shd w:val="clear" w:color="auto" w:fill="auto"/>
            <w:noWrap/>
            <w:vAlign w:val="center"/>
          </w:tcPr>
          <w:p w14:paraId="1995CF65">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总负债</w:t>
            </w:r>
          </w:p>
        </w:tc>
        <w:tc>
          <w:tcPr>
            <w:tcW w:w="0" w:type="auto"/>
            <w:tcBorders>
              <w:top w:val="nil"/>
              <w:left w:val="nil"/>
              <w:bottom w:val="single" w:color="000000" w:sz="8" w:space="0"/>
              <w:right w:val="single" w:color="000000" w:sz="8" w:space="0"/>
            </w:tcBorders>
            <w:shd w:val="clear" w:color="auto" w:fill="auto"/>
            <w:noWrap/>
            <w:vAlign w:val="center"/>
          </w:tcPr>
          <w:p w14:paraId="1ABA902A">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同比</w:t>
            </w:r>
          </w:p>
        </w:tc>
        <w:tc>
          <w:tcPr>
            <w:tcW w:w="0" w:type="auto"/>
            <w:tcBorders>
              <w:top w:val="nil"/>
              <w:left w:val="nil"/>
              <w:bottom w:val="single" w:color="000000" w:sz="8" w:space="0"/>
              <w:right w:val="single" w:color="000000" w:sz="8" w:space="0"/>
            </w:tcBorders>
            <w:shd w:val="clear" w:color="auto" w:fill="auto"/>
            <w:noWrap/>
            <w:vAlign w:val="center"/>
          </w:tcPr>
          <w:p w14:paraId="66A19573">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有息负债</w:t>
            </w:r>
          </w:p>
        </w:tc>
        <w:tc>
          <w:tcPr>
            <w:tcW w:w="0" w:type="auto"/>
            <w:tcBorders>
              <w:top w:val="nil"/>
              <w:left w:val="nil"/>
              <w:bottom w:val="single" w:color="000000" w:sz="8" w:space="0"/>
              <w:right w:val="single" w:color="000000" w:sz="8" w:space="0"/>
            </w:tcBorders>
            <w:shd w:val="clear" w:color="auto" w:fill="auto"/>
            <w:noWrap/>
            <w:vAlign w:val="center"/>
          </w:tcPr>
          <w:p w14:paraId="395DEAF3">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资产负债率</w:t>
            </w:r>
          </w:p>
        </w:tc>
        <w:tc>
          <w:tcPr>
            <w:tcW w:w="0" w:type="auto"/>
            <w:tcBorders>
              <w:top w:val="nil"/>
              <w:left w:val="nil"/>
              <w:bottom w:val="single" w:color="000000" w:sz="8" w:space="0"/>
              <w:right w:val="single" w:color="000000" w:sz="8" w:space="0"/>
            </w:tcBorders>
            <w:shd w:val="clear" w:color="auto" w:fill="auto"/>
            <w:noWrap/>
            <w:vAlign w:val="center"/>
          </w:tcPr>
          <w:p w14:paraId="01B8BCE9">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营业收入</w:t>
            </w:r>
          </w:p>
        </w:tc>
        <w:tc>
          <w:tcPr>
            <w:tcW w:w="0" w:type="auto"/>
            <w:tcBorders>
              <w:top w:val="nil"/>
              <w:left w:val="nil"/>
              <w:bottom w:val="single" w:color="000000" w:sz="8" w:space="0"/>
              <w:right w:val="single" w:color="000000" w:sz="8" w:space="0"/>
            </w:tcBorders>
            <w:shd w:val="clear" w:color="auto" w:fill="auto"/>
            <w:noWrap/>
            <w:vAlign w:val="center"/>
          </w:tcPr>
          <w:p w14:paraId="223F16EE">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同比</w:t>
            </w:r>
          </w:p>
        </w:tc>
        <w:tc>
          <w:tcPr>
            <w:tcW w:w="0" w:type="auto"/>
            <w:tcBorders>
              <w:top w:val="nil"/>
              <w:left w:val="nil"/>
              <w:bottom w:val="single" w:color="000000" w:sz="8" w:space="0"/>
              <w:right w:val="single" w:color="000000" w:sz="8" w:space="0"/>
            </w:tcBorders>
            <w:shd w:val="clear" w:color="auto" w:fill="auto"/>
            <w:noWrap/>
            <w:vAlign w:val="center"/>
          </w:tcPr>
          <w:p w14:paraId="4B1D33CA">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营业成本</w:t>
            </w:r>
          </w:p>
        </w:tc>
        <w:tc>
          <w:tcPr>
            <w:tcW w:w="0" w:type="auto"/>
            <w:tcBorders>
              <w:top w:val="nil"/>
              <w:left w:val="nil"/>
              <w:bottom w:val="single" w:color="000000" w:sz="8" w:space="0"/>
              <w:right w:val="single" w:color="000000" w:sz="8" w:space="0"/>
            </w:tcBorders>
            <w:shd w:val="clear" w:color="auto" w:fill="auto"/>
            <w:noWrap/>
            <w:vAlign w:val="center"/>
          </w:tcPr>
          <w:p w14:paraId="21CE0422">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净利润</w:t>
            </w:r>
          </w:p>
        </w:tc>
        <w:tc>
          <w:tcPr>
            <w:tcW w:w="0" w:type="auto"/>
            <w:tcBorders>
              <w:top w:val="nil"/>
              <w:left w:val="nil"/>
              <w:bottom w:val="single" w:color="000000" w:sz="8" w:space="0"/>
              <w:right w:val="single" w:color="000000" w:sz="8" w:space="0"/>
            </w:tcBorders>
            <w:shd w:val="clear" w:color="auto" w:fill="auto"/>
            <w:noWrap/>
            <w:vAlign w:val="center"/>
          </w:tcPr>
          <w:p w14:paraId="5015884D">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净利率</w:t>
            </w:r>
          </w:p>
        </w:tc>
        <w:tc>
          <w:tcPr>
            <w:tcW w:w="0" w:type="auto"/>
            <w:tcBorders>
              <w:top w:val="nil"/>
              <w:left w:val="nil"/>
              <w:bottom w:val="single" w:color="000000" w:sz="8" w:space="0"/>
              <w:right w:val="single" w:color="000000" w:sz="8" w:space="0"/>
            </w:tcBorders>
            <w:shd w:val="clear" w:color="auto" w:fill="auto"/>
            <w:noWrap/>
            <w:vAlign w:val="center"/>
          </w:tcPr>
          <w:p w14:paraId="282862C1">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经营性净现金流</w:t>
            </w:r>
          </w:p>
        </w:tc>
      </w:tr>
      <w:tr w14:paraId="4A9B4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64F6E7DF">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2021</w:t>
            </w:r>
          </w:p>
        </w:tc>
        <w:tc>
          <w:tcPr>
            <w:tcW w:w="0" w:type="auto"/>
            <w:tcBorders>
              <w:top w:val="nil"/>
              <w:left w:val="nil"/>
              <w:bottom w:val="single" w:color="000000" w:sz="8" w:space="0"/>
              <w:right w:val="single" w:color="000000" w:sz="8" w:space="0"/>
            </w:tcBorders>
            <w:shd w:val="clear" w:color="auto" w:fill="auto"/>
            <w:noWrap/>
            <w:vAlign w:val="center"/>
          </w:tcPr>
          <w:p w14:paraId="7052FD5F">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9803.62</w:t>
            </w:r>
          </w:p>
        </w:tc>
        <w:tc>
          <w:tcPr>
            <w:tcW w:w="0" w:type="auto"/>
            <w:tcBorders>
              <w:top w:val="nil"/>
              <w:left w:val="nil"/>
              <w:bottom w:val="single" w:color="000000" w:sz="8" w:space="0"/>
              <w:right w:val="single" w:color="000000" w:sz="8" w:space="0"/>
            </w:tcBorders>
            <w:shd w:val="clear" w:color="auto" w:fill="auto"/>
            <w:noWrap/>
            <w:vAlign w:val="center"/>
          </w:tcPr>
          <w:p w14:paraId="78DCFD64">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p>
        </w:tc>
        <w:tc>
          <w:tcPr>
            <w:tcW w:w="0" w:type="auto"/>
            <w:tcBorders>
              <w:top w:val="nil"/>
              <w:left w:val="nil"/>
              <w:bottom w:val="single" w:color="000000" w:sz="8" w:space="0"/>
              <w:right w:val="single" w:color="000000" w:sz="8" w:space="0"/>
            </w:tcBorders>
            <w:shd w:val="clear" w:color="auto" w:fill="auto"/>
            <w:noWrap/>
            <w:vAlign w:val="center"/>
          </w:tcPr>
          <w:p w14:paraId="25273976">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8663.45</w:t>
            </w:r>
          </w:p>
        </w:tc>
        <w:tc>
          <w:tcPr>
            <w:tcW w:w="0" w:type="auto"/>
            <w:tcBorders>
              <w:top w:val="nil"/>
              <w:left w:val="nil"/>
              <w:bottom w:val="single" w:color="000000" w:sz="8" w:space="0"/>
              <w:right w:val="single" w:color="000000" w:sz="8" w:space="0"/>
            </w:tcBorders>
            <w:shd w:val="clear" w:color="auto" w:fill="auto"/>
            <w:noWrap/>
            <w:vAlign w:val="center"/>
          </w:tcPr>
          <w:p w14:paraId="361BD9BC">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p>
        </w:tc>
        <w:tc>
          <w:tcPr>
            <w:tcW w:w="0" w:type="auto"/>
            <w:tcBorders>
              <w:top w:val="nil"/>
              <w:left w:val="nil"/>
              <w:bottom w:val="single" w:color="000000" w:sz="8" w:space="0"/>
              <w:right w:val="single" w:color="000000" w:sz="8" w:space="0"/>
            </w:tcBorders>
            <w:shd w:val="clear" w:color="auto" w:fill="auto"/>
            <w:noWrap/>
            <w:vAlign w:val="center"/>
          </w:tcPr>
          <w:p w14:paraId="38B21446">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0</w:t>
            </w:r>
          </w:p>
        </w:tc>
        <w:tc>
          <w:tcPr>
            <w:tcW w:w="0" w:type="auto"/>
            <w:tcBorders>
              <w:top w:val="nil"/>
              <w:left w:val="nil"/>
              <w:bottom w:val="single" w:color="000000" w:sz="8" w:space="0"/>
              <w:right w:val="single" w:color="000000" w:sz="8" w:space="0"/>
            </w:tcBorders>
            <w:shd w:val="clear" w:color="auto" w:fill="auto"/>
            <w:noWrap/>
            <w:vAlign w:val="center"/>
          </w:tcPr>
          <w:p w14:paraId="73541973">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88%</w:t>
            </w:r>
          </w:p>
        </w:tc>
        <w:tc>
          <w:tcPr>
            <w:tcW w:w="0" w:type="auto"/>
            <w:tcBorders>
              <w:top w:val="nil"/>
              <w:left w:val="nil"/>
              <w:bottom w:val="single" w:color="000000" w:sz="8" w:space="0"/>
              <w:right w:val="single" w:color="000000" w:sz="8" w:space="0"/>
            </w:tcBorders>
            <w:shd w:val="clear" w:color="auto" w:fill="auto"/>
            <w:noWrap/>
            <w:vAlign w:val="center"/>
          </w:tcPr>
          <w:p w14:paraId="7E41AC85">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1261.11</w:t>
            </w:r>
          </w:p>
        </w:tc>
        <w:tc>
          <w:tcPr>
            <w:tcW w:w="0" w:type="auto"/>
            <w:tcBorders>
              <w:top w:val="nil"/>
              <w:left w:val="nil"/>
              <w:bottom w:val="single" w:color="000000" w:sz="8" w:space="0"/>
              <w:right w:val="single" w:color="000000" w:sz="8" w:space="0"/>
            </w:tcBorders>
            <w:shd w:val="clear" w:color="auto" w:fill="auto"/>
            <w:noWrap/>
            <w:vAlign w:val="center"/>
          </w:tcPr>
          <w:p w14:paraId="2FC987A5">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p>
        </w:tc>
        <w:tc>
          <w:tcPr>
            <w:tcW w:w="0" w:type="auto"/>
            <w:tcBorders>
              <w:top w:val="nil"/>
              <w:left w:val="nil"/>
              <w:bottom w:val="single" w:color="000000" w:sz="8" w:space="0"/>
              <w:right w:val="single" w:color="000000" w:sz="8" w:space="0"/>
            </w:tcBorders>
            <w:shd w:val="clear" w:color="auto" w:fill="auto"/>
            <w:noWrap/>
            <w:vAlign w:val="center"/>
          </w:tcPr>
          <w:p w14:paraId="40C1BC60">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900.88</w:t>
            </w:r>
          </w:p>
        </w:tc>
        <w:tc>
          <w:tcPr>
            <w:tcW w:w="0" w:type="auto"/>
            <w:tcBorders>
              <w:top w:val="nil"/>
              <w:left w:val="nil"/>
              <w:bottom w:val="single" w:color="000000" w:sz="8" w:space="0"/>
              <w:right w:val="single" w:color="000000" w:sz="8" w:space="0"/>
            </w:tcBorders>
            <w:shd w:val="clear" w:color="auto" w:fill="auto"/>
            <w:noWrap/>
            <w:vAlign w:val="center"/>
          </w:tcPr>
          <w:p w14:paraId="43FB0E2B">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15.39</w:t>
            </w:r>
          </w:p>
        </w:tc>
        <w:tc>
          <w:tcPr>
            <w:tcW w:w="0" w:type="auto"/>
            <w:tcBorders>
              <w:top w:val="nil"/>
              <w:left w:val="nil"/>
              <w:bottom w:val="single" w:color="000000" w:sz="8" w:space="0"/>
              <w:right w:val="single" w:color="000000" w:sz="8" w:space="0"/>
            </w:tcBorders>
            <w:shd w:val="clear" w:color="auto" w:fill="auto"/>
            <w:noWrap/>
            <w:vAlign w:val="center"/>
          </w:tcPr>
          <w:p w14:paraId="45BFC612">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w:t>
            </w:r>
          </w:p>
        </w:tc>
        <w:tc>
          <w:tcPr>
            <w:tcW w:w="0" w:type="auto"/>
            <w:tcBorders>
              <w:top w:val="nil"/>
              <w:left w:val="nil"/>
              <w:bottom w:val="single" w:color="000000" w:sz="8" w:space="0"/>
              <w:right w:val="single" w:color="000000" w:sz="8" w:space="0"/>
            </w:tcBorders>
            <w:shd w:val="clear" w:color="auto" w:fill="auto"/>
            <w:noWrap/>
            <w:vAlign w:val="center"/>
          </w:tcPr>
          <w:p w14:paraId="4B15838E">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-526.17</w:t>
            </w:r>
          </w:p>
        </w:tc>
      </w:tr>
      <w:tr w14:paraId="0E769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0F99E524">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2022</w:t>
            </w:r>
          </w:p>
        </w:tc>
        <w:tc>
          <w:tcPr>
            <w:tcW w:w="0" w:type="auto"/>
            <w:tcBorders>
              <w:top w:val="nil"/>
              <w:left w:val="nil"/>
              <w:bottom w:val="single" w:color="000000" w:sz="8" w:space="0"/>
              <w:right w:val="single" w:color="000000" w:sz="8" w:space="0"/>
            </w:tcBorders>
            <w:shd w:val="clear" w:color="auto" w:fill="auto"/>
            <w:noWrap/>
            <w:vAlign w:val="center"/>
          </w:tcPr>
          <w:p w14:paraId="7AF4CA3C">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9555.5</w:t>
            </w:r>
          </w:p>
        </w:tc>
        <w:tc>
          <w:tcPr>
            <w:tcW w:w="0" w:type="auto"/>
            <w:tcBorders>
              <w:top w:val="nil"/>
              <w:left w:val="nil"/>
              <w:bottom w:val="single" w:color="000000" w:sz="8" w:space="0"/>
              <w:right w:val="single" w:color="000000" w:sz="8" w:space="0"/>
            </w:tcBorders>
            <w:shd w:val="clear" w:color="auto" w:fill="auto"/>
            <w:noWrap/>
            <w:vAlign w:val="center"/>
          </w:tcPr>
          <w:p w14:paraId="57EDF592">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-3%</w:t>
            </w:r>
          </w:p>
        </w:tc>
        <w:tc>
          <w:tcPr>
            <w:tcW w:w="0" w:type="auto"/>
            <w:tcBorders>
              <w:top w:val="nil"/>
              <w:left w:val="nil"/>
              <w:bottom w:val="single" w:color="000000" w:sz="8" w:space="0"/>
              <w:right w:val="single" w:color="000000" w:sz="8" w:space="0"/>
            </w:tcBorders>
            <w:shd w:val="clear" w:color="auto" w:fill="auto"/>
            <w:noWrap/>
            <w:vAlign w:val="center"/>
          </w:tcPr>
          <w:p w14:paraId="5D33B07B">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8362.68</w:t>
            </w:r>
          </w:p>
        </w:tc>
        <w:tc>
          <w:tcPr>
            <w:tcW w:w="0" w:type="auto"/>
            <w:tcBorders>
              <w:top w:val="nil"/>
              <w:left w:val="nil"/>
              <w:bottom w:val="single" w:color="000000" w:sz="8" w:space="0"/>
              <w:right w:val="single" w:color="000000" w:sz="8" w:space="0"/>
            </w:tcBorders>
            <w:shd w:val="clear" w:color="auto" w:fill="auto"/>
            <w:noWrap/>
            <w:vAlign w:val="center"/>
          </w:tcPr>
          <w:p w14:paraId="63EB6EA7">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-4%</w:t>
            </w:r>
          </w:p>
        </w:tc>
        <w:tc>
          <w:tcPr>
            <w:tcW w:w="0" w:type="auto"/>
            <w:tcBorders>
              <w:top w:val="nil"/>
              <w:left w:val="nil"/>
              <w:bottom w:val="single" w:color="000000" w:sz="8" w:space="0"/>
              <w:right w:val="single" w:color="000000" w:sz="8" w:space="0"/>
            </w:tcBorders>
            <w:shd w:val="clear" w:color="auto" w:fill="auto"/>
            <w:noWrap/>
            <w:vAlign w:val="center"/>
          </w:tcPr>
          <w:p w14:paraId="18338B74">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40</w:t>
            </w:r>
          </w:p>
        </w:tc>
        <w:tc>
          <w:tcPr>
            <w:tcW w:w="0" w:type="auto"/>
            <w:tcBorders>
              <w:top w:val="nil"/>
              <w:left w:val="nil"/>
              <w:bottom w:val="single" w:color="000000" w:sz="8" w:space="0"/>
              <w:right w:val="single" w:color="000000" w:sz="8" w:space="0"/>
            </w:tcBorders>
            <w:shd w:val="clear" w:color="auto" w:fill="auto"/>
            <w:noWrap/>
            <w:vAlign w:val="center"/>
          </w:tcPr>
          <w:p w14:paraId="24A9FEFA">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88%</w:t>
            </w:r>
          </w:p>
        </w:tc>
        <w:tc>
          <w:tcPr>
            <w:tcW w:w="0" w:type="auto"/>
            <w:tcBorders>
              <w:top w:val="nil"/>
              <w:left w:val="nil"/>
              <w:bottom w:val="single" w:color="000000" w:sz="8" w:space="0"/>
              <w:right w:val="single" w:color="000000" w:sz="8" w:space="0"/>
            </w:tcBorders>
            <w:shd w:val="clear" w:color="auto" w:fill="auto"/>
            <w:noWrap/>
            <w:vAlign w:val="center"/>
          </w:tcPr>
          <w:p w14:paraId="449F4300">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1391.93</w:t>
            </w:r>
          </w:p>
        </w:tc>
        <w:tc>
          <w:tcPr>
            <w:tcW w:w="0" w:type="auto"/>
            <w:tcBorders>
              <w:top w:val="nil"/>
              <w:left w:val="nil"/>
              <w:bottom w:val="single" w:color="000000" w:sz="8" w:space="0"/>
              <w:right w:val="single" w:color="000000" w:sz="8" w:space="0"/>
            </w:tcBorders>
            <w:shd w:val="clear" w:color="auto" w:fill="auto"/>
            <w:noWrap/>
            <w:vAlign w:val="center"/>
          </w:tcPr>
          <w:p w14:paraId="3A70E0BA">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9%</w:t>
            </w:r>
          </w:p>
        </w:tc>
        <w:tc>
          <w:tcPr>
            <w:tcW w:w="0" w:type="auto"/>
            <w:tcBorders>
              <w:top w:val="nil"/>
              <w:left w:val="nil"/>
              <w:bottom w:val="single" w:color="000000" w:sz="8" w:space="0"/>
              <w:right w:val="single" w:color="000000" w:sz="8" w:space="0"/>
            </w:tcBorders>
            <w:shd w:val="clear" w:color="auto" w:fill="auto"/>
            <w:noWrap/>
            <w:vAlign w:val="center"/>
          </w:tcPr>
          <w:p w14:paraId="564F6B4D">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865.66</w:t>
            </w:r>
          </w:p>
        </w:tc>
        <w:tc>
          <w:tcPr>
            <w:tcW w:w="0" w:type="auto"/>
            <w:tcBorders>
              <w:top w:val="nil"/>
              <w:left w:val="nil"/>
              <w:bottom w:val="single" w:color="000000" w:sz="8" w:space="0"/>
              <w:right w:val="single" w:color="000000" w:sz="8" w:space="0"/>
            </w:tcBorders>
            <w:shd w:val="clear" w:color="auto" w:fill="auto"/>
            <w:noWrap/>
            <w:vAlign w:val="center"/>
          </w:tcPr>
          <w:p w14:paraId="1D59A015">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52.65</w:t>
            </w:r>
          </w:p>
        </w:tc>
        <w:tc>
          <w:tcPr>
            <w:tcW w:w="0" w:type="auto"/>
            <w:tcBorders>
              <w:top w:val="nil"/>
              <w:left w:val="nil"/>
              <w:bottom w:val="single" w:color="000000" w:sz="8" w:space="0"/>
              <w:right w:val="single" w:color="000000" w:sz="8" w:space="0"/>
            </w:tcBorders>
            <w:shd w:val="clear" w:color="auto" w:fill="auto"/>
            <w:noWrap/>
            <w:vAlign w:val="center"/>
          </w:tcPr>
          <w:p w14:paraId="55FE880A">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4%</w:t>
            </w:r>
          </w:p>
        </w:tc>
        <w:tc>
          <w:tcPr>
            <w:tcW w:w="0" w:type="auto"/>
            <w:tcBorders>
              <w:top w:val="nil"/>
              <w:left w:val="nil"/>
              <w:bottom w:val="single" w:color="000000" w:sz="8" w:space="0"/>
              <w:right w:val="single" w:color="000000" w:sz="8" w:space="0"/>
            </w:tcBorders>
            <w:shd w:val="clear" w:color="auto" w:fill="auto"/>
            <w:noWrap/>
            <w:vAlign w:val="center"/>
          </w:tcPr>
          <w:p w14:paraId="10ED2B42">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-223.06</w:t>
            </w:r>
          </w:p>
        </w:tc>
      </w:tr>
      <w:tr w14:paraId="5BCDD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6999F9EE">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2023</w:t>
            </w:r>
          </w:p>
        </w:tc>
        <w:tc>
          <w:tcPr>
            <w:tcW w:w="0" w:type="auto"/>
            <w:tcBorders>
              <w:top w:val="nil"/>
              <w:left w:val="nil"/>
              <w:bottom w:val="single" w:color="000000" w:sz="8" w:space="0"/>
              <w:right w:val="single" w:color="000000" w:sz="8" w:space="0"/>
            </w:tcBorders>
            <w:shd w:val="clear" w:color="auto" w:fill="auto"/>
            <w:noWrap/>
            <w:vAlign w:val="center"/>
          </w:tcPr>
          <w:p w14:paraId="40477B45">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13434.81</w:t>
            </w:r>
          </w:p>
        </w:tc>
        <w:tc>
          <w:tcPr>
            <w:tcW w:w="0" w:type="auto"/>
            <w:tcBorders>
              <w:top w:val="nil"/>
              <w:left w:val="nil"/>
              <w:bottom w:val="single" w:color="000000" w:sz="8" w:space="0"/>
              <w:right w:val="single" w:color="000000" w:sz="8" w:space="0"/>
            </w:tcBorders>
            <w:shd w:val="clear" w:color="auto" w:fill="auto"/>
            <w:noWrap/>
            <w:vAlign w:val="center"/>
          </w:tcPr>
          <w:p w14:paraId="040D0210">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29%</w:t>
            </w:r>
          </w:p>
        </w:tc>
        <w:tc>
          <w:tcPr>
            <w:tcW w:w="0" w:type="auto"/>
            <w:tcBorders>
              <w:top w:val="nil"/>
              <w:left w:val="nil"/>
              <w:bottom w:val="single" w:color="000000" w:sz="8" w:space="0"/>
              <w:right w:val="single" w:color="000000" w:sz="8" w:space="0"/>
            </w:tcBorders>
            <w:shd w:val="clear" w:color="auto" w:fill="auto"/>
            <w:noWrap/>
            <w:vAlign w:val="center"/>
          </w:tcPr>
          <w:p w14:paraId="2D217477">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9477.26</w:t>
            </w:r>
          </w:p>
        </w:tc>
        <w:tc>
          <w:tcPr>
            <w:tcW w:w="0" w:type="auto"/>
            <w:tcBorders>
              <w:top w:val="nil"/>
              <w:left w:val="nil"/>
              <w:bottom w:val="single" w:color="000000" w:sz="8" w:space="0"/>
              <w:right w:val="single" w:color="000000" w:sz="8" w:space="0"/>
            </w:tcBorders>
            <w:shd w:val="clear" w:color="auto" w:fill="auto"/>
            <w:noWrap/>
            <w:vAlign w:val="center"/>
          </w:tcPr>
          <w:p w14:paraId="1B22F4CC">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12%</w:t>
            </w:r>
          </w:p>
        </w:tc>
        <w:tc>
          <w:tcPr>
            <w:tcW w:w="0" w:type="auto"/>
            <w:tcBorders>
              <w:top w:val="nil"/>
              <w:left w:val="nil"/>
              <w:bottom w:val="single" w:color="000000" w:sz="8" w:space="0"/>
              <w:right w:val="single" w:color="000000" w:sz="8" w:space="0"/>
            </w:tcBorders>
            <w:shd w:val="clear" w:color="auto" w:fill="auto"/>
            <w:noWrap/>
            <w:vAlign w:val="center"/>
          </w:tcPr>
          <w:p w14:paraId="1A0F0820">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0</w:t>
            </w:r>
          </w:p>
        </w:tc>
        <w:tc>
          <w:tcPr>
            <w:tcW w:w="0" w:type="auto"/>
            <w:tcBorders>
              <w:top w:val="nil"/>
              <w:left w:val="nil"/>
              <w:bottom w:val="single" w:color="000000" w:sz="8" w:space="0"/>
              <w:right w:val="single" w:color="000000" w:sz="8" w:space="0"/>
            </w:tcBorders>
            <w:shd w:val="clear" w:color="auto" w:fill="auto"/>
            <w:noWrap/>
            <w:vAlign w:val="center"/>
          </w:tcPr>
          <w:p w14:paraId="0B7F4D52">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71%</w:t>
            </w:r>
          </w:p>
        </w:tc>
        <w:tc>
          <w:tcPr>
            <w:tcW w:w="0" w:type="auto"/>
            <w:tcBorders>
              <w:top w:val="nil"/>
              <w:left w:val="nil"/>
              <w:bottom w:val="single" w:color="000000" w:sz="8" w:space="0"/>
              <w:right w:val="single" w:color="000000" w:sz="8" w:space="0"/>
            </w:tcBorders>
            <w:shd w:val="clear" w:color="auto" w:fill="auto"/>
            <w:noWrap/>
            <w:vAlign w:val="center"/>
          </w:tcPr>
          <w:p w14:paraId="5756F388">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1285.93</w:t>
            </w:r>
          </w:p>
        </w:tc>
        <w:tc>
          <w:tcPr>
            <w:tcW w:w="0" w:type="auto"/>
            <w:tcBorders>
              <w:top w:val="nil"/>
              <w:left w:val="nil"/>
              <w:bottom w:val="single" w:color="000000" w:sz="8" w:space="0"/>
              <w:right w:val="single" w:color="000000" w:sz="8" w:space="0"/>
            </w:tcBorders>
            <w:shd w:val="clear" w:color="auto" w:fill="auto"/>
            <w:noWrap/>
            <w:vAlign w:val="center"/>
          </w:tcPr>
          <w:p w14:paraId="4DA236B4">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-8%</w:t>
            </w:r>
          </w:p>
        </w:tc>
        <w:tc>
          <w:tcPr>
            <w:tcW w:w="0" w:type="auto"/>
            <w:tcBorders>
              <w:top w:val="nil"/>
              <w:left w:val="nil"/>
              <w:bottom w:val="single" w:color="000000" w:sz="8" w:space="0"/>
              <w:right w:val="single" w:color="000000" w:sz="8" w:space="0"/>
            </w:tcBorders>
            <w:shd w:val="clear" w:color="auto" w:fill="auto"/>
            <w:noWrap/>
            <w:vAlign w:val="center"/>
          </w:tcPr>
          <w:p w14:paraId="0C419A96">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739.03</w:t>
            </w:r>
          </w:p>
        </w:tc>
        <w:tc>
          <w:tcPr>
            <w:tcW w:w="0" w:type="auto"/>
            <w:tcBorders>
              <w:top w:val="nil"/>
              <w:left w:val="nil"/>
              <w:bottom w:val="single" w:color="000000" w:sz="8" w:space="0"/>
              <w:right w:val="single" w:color="000000" w:sz="8" w:space="0"/>
            </w:tcBorders>
            <w:shd w:val="clear" w:color="auto" w:fill="auto"/>
            <w:noWrap/>
            <w:vAlign w:val="center"/>
          </w:tcPr>
          <w:p w14:paraId="76ED3D6B">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-45.27</w:t>
            </w:r>
          </w:p>
        </w:tc>
        <w:tc>
          <w:tcPr>
            <w:tcW w:w="0" w:type="auto"/>
            <w:tcBorders>
              <w:top w:val="nil"/>
              <w:left w:val="nil"/>
              <w:bottom w:val="single" w:color="000000" w:sz="8" w:space="0"/>
              <w:right w:val="single" w:color="000000" w:sz="8" w:space="0"/>
            </w:tcBorders>
            <w:shd w:val="clear" w:color="auto" w:fill="auto"/>
            <w:noWrap/>
            <w:vAlign w:val="center"/>
          </w:tcPr>
          <w:p w14:paraId="5BD22912">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-4%</w:t>
            </w:r>
          </w:p>
        </w:tc>
        <w:tc>
          <w:tcPr>
            <w:tcW w:w="0" w:type="auto"/>
            <w:tcBorders>
              <w:top w:val="nil"/>
              <w:left w:val="nil"/>
              <w:bottom w:val="single" w:color="000000" w:sz="8" w:space="0"/>
              <w:right w:val="single" w:color="000000" w:sz="8" w:space="0"/>
            </w:tcBorders>
            <w:shd w:val="clear" w:color="auto" w:fill="auto"/>
            <w:noWrap/>
            <w:vAlign w:val="center"/>
          </w:tcPr>
          <w:p w14:paraId="7FAF6E94">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116.4</w:t>
            </w:r>
          </w:p>
        </w:tc>
      </w:tr>
      <w:tr w14:paraId="4B312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6302AA14">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板块</w:t>
            </w:r>
          </w:p>
        </w:tc>
        <w:tc>
          <w:tcPr>
            <w:tcW w:w="0" w:type="auto"/>
            <w:gridSpan w:val="12"/>
            <w:tcBorders>
              <w:top w:val="nil"/>
              <w:left w:val="nil"/>
              <w:bottom w:val="single" w:color="000000" w:sz="8" w:space="0"/>
              <w:right w:val="single" w:color="000000" w:sz="8" w:space="0"/>
            </w:tcBorders>
            <w:shd w:val="clear" w:color="auto" w:fill="auto"/>
            <w:noWrap/>
            <w:vAlign w:val="center"/>
          </w:tcPr>
          <w:p w14:paraId="75E6B7CE">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能源板块</w:t>
            </w:r>
          </w:p>
        </w:tc>
      </w:tr>
      <w:tr w14:paraId="73E83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2FBB74C0">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公司名称</w:t>
            </w:r>
          </w:p>
        </w:tc>
        <w:tc>
          <w:tcPr>
            <w:tcW w:w="0" w:type="auto"/>
            <w:gridSpan w:val="12"/>
            <w:tcBorders>
              <w:top w:val="nil"/>
              <w:left w:val="nil"/>
              <w:bottom w:val="single" w:color="000000" w:sz="8" w:space="0"/>
              <w:right w:val="single" w:color="000000" w:sz="8" w:space="0"/>
            </w:tcBorders>
            <w:shd w:val="clear" w:color="auto" w:fill="auto"/>
            <w:noWrap/>
            <w:vAlign w:val="center"/>
          </w:tcPr>
          <w:p w14:paraId="3D67883C">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新疆鸿昌能源投资有限公司</w:t>
            </w:r>
          </w:p>
        </w:tc>
      </w:tr>
      <w:tr w14:paraId="16E02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4934E0D2">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科目（万元，%）</w:t>
            </w:r>
          </w:p>
        </w:tc>
        <w:tc>
          <w:tcPr>
            <w:tcW w:w="0" w:type="auto"/>
            <w:tcBorders>
              <w:top w:val="nil"/>
              <w:left w:val="nil"/>
              <w:bottom w:val="single" w:color="000000" w:sz="8" w:space="0"/>
              <w:right w:val="single" w:color="000000" w:sz="8" w:space="0"/>
            </w:tcBorders>
            <w:shd w:val="clear" w:color="auto" w:fill="auto"/>
            <w:noWrap/>
            <w:vAlign w:val="center"/>
          </w:tcPr>
          <w:p w14:paraId="288118BF">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总资产</w:t>
            </w:r>
          </w:p>
        </w:tc>
        <w:tc>
          <w:tcPr>
            <w:tcW w:w="0" w:type="auto"/>
            <w:tcBorders>
              <w:top w:val="nil"/>
              <w:left w:val="nil"/>
              <w:bottom w:val="single" w:color="000000" w:sz="8" w:space="0"/>
              <w:right w:val="single" w:color="000000" w:sz="8" w:space="0"/>
            </w:tcBorders>
            <w:shd w:val="clear" w:color="auto" w:fill="auto"/>
            <w:noWrap/>
            <w:vAlign w:val="center"/>
          </w:tcPr>
          <w:p w14:paraId="29F64A7B">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同比</w:t>
            </w:r>
          </w:p>
        </w:tc>
        <w:tc>
          <w:tcPr>
            <w:tcW w:w="0" w:type="auto"/>
            <w:tcBorders>
              <w:top w:val="nil"/>
              <w:left w:val="nil"/>
              <w:bottom w:val="single" w:color="000000" w:sz="8" w:space="0"/>
              <w:right w:val="single" w:color="000000" w:sz="8" w:space="0"/>
            </w:tcBorders>
            <w:shd w:val="clear" w:color="auto" w:fill="auto"/>
            <w:noWrap/>
            <w:vAlign w:val="center"/>
          </w:tcPr>
          <w:p w14:paraId="737CEA30">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总负债</w:t>
            </w:r>
          </w:p>
        </w:tc>
        <w:tc>
          <w:tcPr>
            <w:tcW w:w="0" w:type="auto"/>
            <w:tcBorders>
              <w:top w:val="nil"/>
              <w:left w:val="nil"/>
              <w:bottom w:val="single" w:color="000000" w:sz="8" w:space="0"/>
              <w:right w:val="single" w:color="000000" w:sz="8" w:space="0"/>
            </w:tcBorders>
            <w:shd w:val="clear" w:color="auto" w:fill="auto"/>
            <w:noWrap/>
            <w:vAlign w:val="center"/>
          </w:tcPr>
          <w:p w14:paraId="3A3D81D9">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同比</w:t>
            </w:r>
          </w:p>
        </w:tc>
        <w:tc>
          <w:tcPr>
            <w:tcW w:w="0" w:type="auto"/>
            <w:tcBorders>
              <w:top w:val="nil"/>
              <w:left w:val="nil"/>
              <w:bottom w:val="single" w:color="000000" w:sz="8" w:space="0"/>
              <w:right w:val="single" w:color="000000" w:sz="8" w:space="0"/>
            </w:tcBorders>
            <w:shd w:val="clear" w:color="auto" w:fill="auto"/>
            <w:noWrap/>
            <w:vAlign w:val="center"/>
          </w:tcPr>
          <w:p w14:paraId="050B3A92">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有息负债</w:t>
            </w:r>
          </w:p>
        </w:tc>
        <w:tc>
          <w:tcPr>
            <w:tcW w:w="0" w:type="auto"/>
            <w:tcBorders>
              <w:top w:val="nil"/>
              <w:left w:val="nil"/>
              <w:bottom w:val="single" w:color="000000" w:sz="8" w:space="0"/>
              <w:right w:val="single" w:color="000000" w:sz="8" w:space="0"/>
            </w:tcBorders>
            <w:shd w:val="clear" w:color="auto" w:fill="auto"/>
            <w:noWrap/>
            <w:vAlign w:val="center"/>
          </w:tcPr>
          <w:p w14:paraId="2340C6DF">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资产负债率</w:t>
            </w:r>
          </w:p>
        </w:tc>
        <w:tc>
          <w:tcPr>
            <w:tcW w:w="0" w:type="auto"/>
            <w:tcBorders>
              <w:top w:val="nil"/>
              <w:left w:val="nil"/>
              <w:bottom w:val="single" w:color="000000" w:sz="8" w:space="0"/>
              <w:right w:val="single" w:color="000000" w:sz="8" w:space="0"/>
            </w:tcBorders>
            <w:shd w:val="clear" w:color="auto" w:fill="auto"/>
            <w:noWrap/>
            <w:vAlign w:val="center"/>
          </w:tcPr>
          <w:p w14:paraId="5D3DD57D">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营业收入</w:t>
            </w:r>
          </w:p>
        </w:tc>
        <w:tc>
          <w:tcPr>
            <w:tcW w:w="0" w:type="auto"/>
            <w:tcBorders>
              <w:top w:val="nil"/>
              <w:left w:val="nil"/>
              <w:bottom w:val="single" w:color="000000" w:sz="8" w:space="0"/>
              <w:right w:val="single" w:color="000000" w:sz="8" w:space="0"/>
            </w:tcBorders>
            <w:shd w:val="clear" w:color="auto" w:fill="auto"/>
            <w:noWrap/>
            <w:vAlign w:val="center"/>
          </w:tcPr>
          <w:p w14:paraId="70FA7D48">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同比</w:t>
            </w:r>
          </w:p>
        </w:tc>
        <w:tc>
          <w:tcPr>
            <w:tcW w:w="0" w:type="auto"/>
            <w:tcBorders>
              <w:top w:val="nil"/>
              <w:left w:val="nil"/>
              <w:bottom w:val="single" w:color="000000" w:sz="8" w:space="0"/>
              <w:right w:val="single" w:color="000000" w:sz="8" w:space="0"/>
            </w:tcBorders>
            <w:shd w:val="clear" w:color="auto" w:fill="auto"/>
            <w:noWrap/>
            <w:vAlign w:val="center"/>
          </w:tcPr>
          <w:p w14:paraId="509E698A">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营业成本</w:t>
            </w:r>
          </w:p>
        </w:tc>
        <w:tc>
          <w:tcPr>
            <w:tcW w:w="0" w:type="auto"/>
            <w:tcBorders>
              <w:top w:val="nil"/>
              <w:left w:val="nil"/>
              <w:bottom w:val="single" w:color="000000" w:sz="8" w:space="0"/>
              <w:right w:val="single" w:color="000000" w:sz="8" w:space="0"/>
            </w:tcBorders>
            <w:shd w:val="clear" w:color="auto" w:fill="auto"/>
            <w:noWrap/>
            <w:vAlign w:val="center"/>
          </w:tcPr>
          <w:p w14:paraId="12F4D52E">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净利润</w:t>
            </w:r>
          </w:p>
        </w:tc>
        <w:tc>
          <w:tcPr>
            <w:tcW w:w="0" w:type="auto"/>
            <w:tcBorders>
              <w:top w:val="nil"/>
              <w:left w:val="nil"/>
              <w:bottom w:val="single" w:color="000000" w:sz="8" w:space="0"/>
              <w:right w:val="single" w:color="000000" w:sz="8" w:space="0"/>
            </w:tcBorders>
            <w:shd w:val="clear" w:color="auto" w:fill="auto"/>
            <w:noWrap/>
            <w:vAlign w:val="center"/>
          </w:tcPr>
          <w:p w14:paraId="007FE8FE">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净利率</w:t>
            </w:r>
          </w:p>
        </w:tc>
        <w:tc>
          <w:tcPr>
            <w:tcW w:w="0" w:type="auto"/>
            <w:tcBorders>
              <w:top w:val="nil"/>
              <w:left w:val="nil"/>
              <w:bottom w:val="single" w:color="000000" w:sz="8" w:space="0"/>
              <w:right w:val="single" w:color="000000" w:sz="8" w:space="0"/>
            </w:tcBorders>
            <w:shd w:val="clear" w:color="auto" w:fill="auto"/>
            <w:noWrap/>
            <w:vAlign w:val="center"/>
          </w:tcPr>
          <w:p w14:paraId="013EDC57">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经营性净现金流</w:t>
            </w:r>
          </w:p>
        </w:tc>
      </w:tr>
      <w:tr w14:paraId="74140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13FBFF72">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2021</w:t>
            </w:r>
          </w:p>
        </w:tc>
        <w:tc>
          <w:tcPr>
            <w:tcW w:w="0" w:type="auto"/>
            <w:tcBorders>
              <w:top w:val="nil"/>
              <w:left w:val="nil"/>
              <w:bottom w:val="single" w:color="000000" w:sz="8" w:space="0"/>
              <w:right w:val="single" w:color="000000" w:sz="8" w:space="0"/>
            </w:tcBorders>
            <w:shd w:val="clear" w:color="auto" w:fill="auto"/>
            <w:noWrap/>
            <w:vAlign w:val="bottom"/>
          </w:tcPr>
          <w:p w14:paraId="46CABC6D">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12,423.74</w:t>
            </w:r>
          </w:p>
        </w:tc>
        <w:tc>
          <w:tcPr>
            <w:tcW w:w="0" w:type="auto"/>
            <w:tcBorders>
              <w:top w:val="nil"/>
              <w:left w:val="nil"/>
              <w:bottom w:val="single" w:color="000000" w:sz="8" w:space="0"/>
              <w:right w:val="single" w:color="000000" w:sz="8" w:space="0"/>
            </w:tcBorders>
            <w:shd w:val="clear" w:color="auto" w:fill="auto"/>
            <w:noWrap/>
            <w:vAlign w:val="center"/>
          </w:tcPr>
          <w:p w14:paraId="4E5B50BB">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0%</w:t>
            </w:r>
          </w:p>
        </w:tc>
        <w:tc>
          <w:tcPr>
            <w:tcW w:w="0" w:type="auto"/>
            <w:tcBorders>
              <w:top w:val="nil"/>
              <w:left w:val="nil"/>
              <w:bottom w:val="single" w:color="000000" w:sz="8" w:space="0"/>
              <w:right w:val="single" w:color="000000" w:sz="8" w:space="0"/>
            </w:tcBorders>
            <w:shd w:val="clear" w:color="auto" w:fill="auto"/>
            <w:noWrap/>
            <w:vAlign w:val="bottom"/>
          </w:tcPr>
          <w:p w14:paraId="7E78FF99">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8,244.27</w:t>
            </w:r>
          </w:p>
        </w:tc>
        <w:tc>
          <w:tcPr>
            <w:tcW w:w="0" w:type="auto"/>
            <w:tcBorders>
              <w:top w:val="nil"/>
              <w:left w:val="nil"/>
              <w:bottom w:val="single" w:color="000000" w:sz="8" w:space="0"/>
              <w:right w:val="single" w:color="000000" w:sz="8" w:space="0"/>
            </w:tcBorders>
            <w:shd w:val="clear" w:color="auto" w:fill="auto"/>
            <w:noWrap/>
            <w:vAlign w:val="center"/>
          </w:tcPr>
          <w:p w14:paraId="24A76EE2">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0%</w:t>
            </w:r>
          </w:p>
        </w:tc>
        <w:tc>
          <w:tcPr>
            <w:tcW w:w="0" w:type="auto"/>
            <w:tcBorders>
              <w:top w:val="nil"/>
              <w:left w:val="nil"/>
              <w:bottom w:val="single" w:color="000000" w:sz="8" w:space="0"/>
              <w:right w:val="single" w:color="000000" w:sz="8" w:space="0"/>
            </w:tcBorders>
            <w:shd w:val="clear" w:color="auto" w:fill="auto"/>
            <w:noWrap/>
            <w:vAlign w:val="center"/>
          </w:tcPr>
          <w:p w14:paraId="4EA4B4CF">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0</w:t>
            </w:r>
          </w:p>
        </w:tc>
        <w:tc>
          <w:tcPr>
            <w:tcW w:w="0" w:type="auto"/>
            <w:tcBorders>
              <w:top w:val="nil"/>
              <w:left w:val="nil"/>
              <w:bottom w:val="single" w:color="000000" w:sz="8" w:space="0"/>
              <w:right w:val="single" w:color="000000" w:sz="8" w:space="0"/>
            </w:tcBorders>
            <w:shd w:val="clear" w:color="auto" w:fill="auto"/>
            <w:noWrap/>
            <w:vAlign w:val="center"/>
          </w:tcPr>
          <w:p w14:paraId="1CD6BABC">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66%</w:t>
            </w:r>
          </w:p>
        </w:tc>
        <w:tc>
          <w:tcPr>
            <w:tcW w:w="0" w:type="auto"/>
            <w:tcBorders>
              <w:top w:val="nil"/>
              <w:left w:val="nil"/>
              <w:bottom w:val="single" w:color="000000" w:sz="8" w:space="0"/>
              <w:right w:val="single" w:color="000000" w:sz="8" w:space="0"/>
            </w:tcBorders>
            <w:shd w:val="clear" w:color="auto" w:fill="auto"/>
            <w:noWrap/>
            <w:vAlign w:val="bottom"/>
          </w:tcPr>
          <w:p w14:paraId="188E53C5">
            <w:pPr>
              <w:keepNext w:val="0"/>
              <w:keepLines w:val="0"/>
              <w:widowControl/>
              <w:suppressLineNumbers w:val="0"/>
              <w:jc w:val="center"/>
              <w:textAlignment w:val="center"/>
              <w:rPr>
                <w:rFonts w:hint="default"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1815.69</w:t>
            </w:r>
          </w:p>
        </w:tc>
        <w:tc>
          <w:tcPr>
            <w:tcW w:w="883" w:type="dxa"/>
            <w:tcBorders>
              <w:top w:val="nil"/>
              <w:left w:val="nil"/>
              <w:bottom w:val="single" w:color="000000" w:sz="8" w:space="0"/>
              <w:right w:val="single" w:color="000000" w:sz="8" w:space="0"/>
            </w:tcBorders>
            <w:shd w:val="clear" w:color="auto" w:fill="auto"/>
            <w:noWrap/>
            <w:vAlign w:val="center"/>
          </w:tcPr>
          <w:p w14:paraId="693C19BC">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0%</w:t>
            </w:r>
          </w:p>
        </w:tc>
        <w:tc>
          <w:tcPr>
            <w:tcW w:w="0" w:type="auto"/>
            <w:tcBorders>
              <w:top w:val="nil"/>
              <w:left w:val="nil"/>
              <w:bottom w:val="single" w:color="000000" w:sz="8" w:space="0"/>
              <w:right w:val="single" w:color="000000" w:sz="8" w:space="0"/>
            </w:tcBorders>
            <w:shd w:val="clear" w:color="auto" w:fill="auto"/>
            <w:noWrap/>
            <w:vAlign w:val="bottom"/>
          </w:tcPr>
          <w:p w14:paraId="313B9E67">
            <w:pPr>
              <w:keepNext w:val="0"/>
              <w:keepLines w:val="0"/>
              <w:widowControl/>
              <w:suppressLineNumbers w:val="0"/>
              <w:jc w:val="center"/>
              <w:textAlignment w:val="center"/>
              <w:rPr>
                <w:rFonts w:hint="default"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1410.03</w:t>
            </w:r>
          </w:p>
        </w:tc>
        <w:tc>
          <w:tcPr>
            <w:tcW w:w="1190" w:type="dxa"/>
            <w:tcBorders>
              <w:top w:val="nil"/>
              <w:left w:val="nil"/>
              <w:bottom w:val="single" w:color="000000" w:sz="8" w:space="0"/>
              <w:right w:val="single" w:color="000000" w:sz="8" w:space="0"/>
            </w:tcBorders>
            <w:shd w:val="clear" w:color="auto" w:fill="auto"/>
            <w:noWrap/>
            <w:vAlign w:val="bottom"/>
          </w:tcPr>
          <w:p w14:paraId="254CE1F2">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-88.12</w:t>
            </w:r>
          </w:p>
        </w:tc>
        <w:tc>
          <w:tcPr>
            <w:tcW w:w="911" w:type="dxa"/>
            <w:tcBorders>
              <w:top w:val="nil"/>
              <w:left w:val="nil"/>
              <w:bottom w:val="single" w:color="000000" w:sz="8" w:space="0"/>
              <w:right w:val="single" w:color="000000" w:sz="8" w:space="0"/>
            </w:tcBorders>
            <w:shd w:val="clear" w:color="auto" w:fill="auto"/>
            <w:noWrap/>
            <w:vAlign w:val="center"/>
          </w:tcPr>
          <w:p w14:paraId="6D89C95E">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-5%</w:t>
            </w:r>
          </w:p>
        </w:tc>
        <w:tc>
          <w:tcPr>
            <w:tcW w:w="0" w:type="auto"/>
            <w:tcBorders>
              <w:top w:val="nil"/>
              <w:left w:val="nil"/>
              <w:bottom w:val="single" w:color="000000" w:sz="8" w:space="0"/>
              <w:right w:val="single" w:color="000000" w:sz="8" w:space="0"/>
            </w:tcBorders>
            <w:shd w:val="clear" w:color="auto" w:fill="auto"/>
            <w:noWrap/>
            <w:vAlign w:val="bottom"/>
          </w:tcPr>
          <w:p w14:paraId="75E6C328">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764.35</w:t>
            </w:r>
          </w:p>
        </w:tc>
      </w:tr>
      <w:tr w14:paraId="7E83B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1C361CC3">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2022</w:t>
            </w:r>
          </w:p>
        </w:tc>
        <w:tc>
          <w:tcPr>
            <w:tcW w:w="0" w:type="auto"/>
            <w:tcBorders>
              <w:top w:val="nil"/>
              <w:left w:val="nil"/>
              <w:bottom w:val="single" w:color="000000" w:sz="8" w:space="0"/>
              <w:right w:val="single" w:color="000000" w:sz="8" w:space="0"/>
            </w:tcBorders>
            <w:shd w:val="clear" w:color="auto" w:fill="auto"/>
            <w:noWrap/>
            <w:vAlign w:val="bottom"/>
          </w:tcPr>
          <w:p w14:paraId="418BAAE4">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11,977.40</w:t>
            </w:r>
          </w:p>
        </w:tc>
        <w:tc>
          <w:tcPr>
            <w:tcW w:w="0" w:type="auto"/>
            <w:tcBorders>
              <w:top w:val="nil"/>
              <w:left w:val="nil"/>
              <w:bottom w:val="single" w:color="000000" w:sz="8" w:space="0"/>
              <w:right w:val="single" w:color="000000" w:sz="8" w:space="0"/>
            </w:tcBorders>
            <w:shd w:val="clear" w:color="auto" w:fill="auto"/>
            <w:noWrap/>
            <w:vAlign w:val="center"/>
          </w:tcPr>
          <w:p w14:paraId="3E9445E3">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-4%</w:t>
            </w:r>
          </w:p>
        </w:tc>
        <w:tc>
          <w:tcPr>
            <w:tcW w:w="0" w:type="auto"/>
            <w:tcBorders>
              <w:top w:val="nil"/>
              <w:left w:val="nil"/>
              <w:bottom w:val="single" w:color="000000" w:sz="8" w:space="0"/>
              <w:right w:val="single" w:color="000000" w:sz="8" w:space="0"/>
            </w:tcBorders>
            <w:shd w:val="clear" w:color="auto" w:fill="auto"/>
            <w:noWrap/>
            <w:vAlign w:val="bottom"/>
          </w:tcPr>
          <w:p w14:paraId="508E7C81">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8,614.88</w:t>
            </w:r>
          </w:p>
        </w:tc>
        <w:tc>
          <w:tcPr>
            <w:tcW w:w="0" w:type="auto"/>
            <w:tcBorders>
              <w:top w:val="nil"/>
              <w:left w:val="nil"/>
              <w:bottom w:val="single" w:color="000000" w:sz="8" w:space="0"/>
              <w:right w:val="single" w:color="000000" w:sz="8" w:space="0"/>
            </w:tcBorders>
            <w:shd w:val="clear" w:color="auto" w:fill="auto"/>
            <w:noWrap/>
            <w:vAlign w:val="center"/>
          </w:tcPr>
          <w:p w14:paraId="39FB84DC">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4%</w:t>
            </w:r>
          </w:p>
        </w:tc>
        <w:tc>
          <w:tcPr>
            <w:tcW w:w="0" w:type="auto"/>
            <w:tcBorders>
              <w:top w:val="nil"/>
              <w:left w:val="nil"/>
              <w:bottom w:val="single" w:color="000000" w:sz="8" w:space="0"/>
              <w:right w:val="single" w:color="000000" w:sz="8" w:space="0"/>
            </w:tcBorders>
            <w:shd w:val="clear" w:color="auto" w:fill="auto"/>
            <w:noWrap/>
            <w:vAlign w:val="center"/>
          </w:tcPr>
          <w:p w14:paraId="51583C7F">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0</w:t>
            </w:r>
          </w:p>
        </w:tc>
        <w:tc>
          <w:tcPr>
            <w:tcW w:w="0" w:type="auto"/>
            <w:tcBorders>
              <w:top w:val="nil"/>
              <w:left w:val="nil"/>
              <w:bottom w:val="single" w:color="000000" w:sz="8" w:space="0"/>
              <w:right w:val="single" w:color="000000" w:sz="8" w:space="0"/>
            </w:tcBorders>
            <w:shd w:val="clear" w:color="auto" w:fill="auto"/>
            <w:noWrap/>
            <w:vAlign w:val="center"/>
          </w:tcPr>
          <w:p w14:paraId="03691189">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72%</w:t>
            </w:r>
          </w:p>
        </w:tc>
        <w:tc>
          <w:tcPr>
            <w:tcW w:w="0" w:type="auto"/>
            <w:tcBorders>
              <w:top w:val="nil"/>
              <w:left w:val="nil"/>
              <w:bottom w:val="single" w:color="000000" w:sz="8" w:space="0"/>
              <w:right w:val="single" w:color="000000" w:sz="8" w:space="0"/>
            </w:tcBorders>
            <w:shd w:val="clear" w:color="auto" w:fill="auto"/>
            <w:noWrap/>
            <w:vAlign w:val="bottom"/>
          </w:tcPr>
          <w:p w14:paraId="4210EF49">
            <w:pPr>
              <w:keepNext w:val="0"/>
              <w:keepLines w:val="0"/>
              <w:widowControl/>
              <w:suppressLineNumbers w:val="0"/>
              <w:jc w:val="center"/>
              <w:textAlignment w:val="center"/>
              <w:rPr>
                <w:rFonts w:hint="default"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1727.86</w:t>
            </w:r>
          </w:p>
        </w:tc>
        <w:tc>
          <w:tcPr>
            <w:tcW w:w="883" w:type="dxa"/>
            <w:tcBorders>
              <w:top w:val="nil"/>
              <w:left w:val="nil"/>
              <w:bottom w:val="single" w:color="000000" w:sz="8" w:space="0"/>
              <w:right w:val="single" w:color="000000" w:sz="8" w:space="0"/>
            </w:tcBorders>
            <w:shd w:val="clear" w:color="auto" w:fill="auto"/>
            <w:noWrap/>
            <w:vAlign w:val="center"/>
          </w:tcPr>
          <w:p w14:paraId="6CE40775">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-5%</w:t>
            </w:r>
          </w:p>
        </w:tc>
        <w:tc>
          <w:tcPr>
            <w:tcW w:w="0" w:type="auto"/>
            <w:tcBorders>
              <w:top w:val="nil"/>
              <w:left w:val="nil"/>
              <w:bottom w:val="single" w:color="000000" w:sz="8" w:space="0"/>
              <w:right w:val="single" w:color="000000" w:sz="8" w:space="0"/>
            </w:tcBorders>
            <w:shd w:val="clear" w:color="auto" w:fill="auto"/>
            <w:noWrap/>
            <w:vAlign w:val="bottom"/>
          </w:tcPr>
          <w:p w14:paraId="78012394">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1432.88</w:t>
            </w:r>
          </w:p>
        </w:tc>
        <w:tc>
          <w:tcPr>
            <w:tcW w:w="1190" w:type="dxa"/>
            <w:tcBorders>
              <w:top w:val="nil"/>
              <w:left w:val="nil"/>
              <w:bottom w:val="single" w:color="000000" w:sz="8" w:space="0"/>
              <w:right w:val="single" w:color="000000" w:sz="8" w:space="0"/>
            </w:tcBorders>
            <w:shd w:val="clear" w:color="auto" w:fill="auto"/>
            <w:noWrap/>
            <w:vAlign w:val="bottom"/>
          </w:tcPr>
          <w:p w14:paraId="345E4BE7">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-172.45</w:t>
            </w:r>
          </w:p>
        </w:tc>
        <w:tc>
          <w:tcPr>
            <w:tcW w:w="911" w:type="dxa"/>
            <w:tcBorders>
              <w:top w:val="nil"/>
              <w:left w:val="nil"/>
              <w:bottom w:val="single" w:color="000000" w:sz="8" w:space="0"/>
              <w:right w:val="single" w:color="000000" w:sz="8" w:space="0"/>
            </w:tcBorders>
            <w:shd w:val="clear" w:color="auto" w:fill="auto"/>
            <w:noWrap/>
            <w:vAlign w:val="center"/>
          </w:tcPr>
          <w:p w14:paraId="7BA0EFF4">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-10%</w:t>
            </w:r>
          </w:p>
        </w:tc>
        <w:tc>
          <w:tcPr>
            <w:tcW w:w="0" w:type="auto"/>
            <w:tcBorders>
              <w:top w:val="nil"/>
              <w:left w:val="nil"/>
              <w:bottom w:val="single" w:color="000000" w:sz="8" w:space="0"/>
              <w:right w:val="single" w:color="000000" w:sz="8" w:space="0"/>
            </w:tcBorders>
            <w:shd w:val="clear" w:color="auto" w:fill="auto"/>
            <w:noWrap/>
            <w:vAlign w:val="bottom"/>
          </w:tcPr>
          <w:p w14:paraId="25F20D2F">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-388.25</w:t>
            </w:r>
          </w:p>
        </w:tc>
      </w:tr>
      <w:tr w14:paraId="2FD67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2CC017FC">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2023</w:t>
            </w:r>
          </w:p>
        </w:tc>
        <w:tc>
          <w:tcPr>
            <w:tcW w:w="0" w:type="auto"/>
            <w:tcBorders>
              <w:top w:val="nil"/>
              <w:left w:val="nil"/>
              <w:bottom w:val="single" w:color="000000" w:sz="8" w:space="0"/>
              <w:right w:val="single" w:color="000000" w:sz="8" w:space="0"/>
            </w:tcBorders>
            <w:shd w:val="clear" w:color="auto" w:fill="auto"/>
            <w:noWrap/>
            <w:vAlign w:val="bottom"/>
          </w:tcPr>
          <w:p w14:paraId="0EA8826E">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10,965.17</w:t>
            </w:r>
          </w:p>
        </w:tc>
        <w:tc>
          <w:tcPr>
            <w:tcW w:w="0" w:type="auto"/>
            <w:tcBorders>
              <w:top w:val="nil"/>
              <w:left w:val="nil"/>
              <w:bottom w:val="single" w:color="000000" w:sz="8" w:space="0"/>
              <w:right w:val="single" w:color="000000" w:sz="8" w:space="0"/>
            </w:tcBorders>
            <w:shd w:val="clear" w:color="auto" w:fill="auto"/>
            <w:noWrap/>
            <w:vAlign w:val="center"/>
          </w:tcPr>
          <w:p w14:paraId="1F939CE0">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-9%</w:t>
            </w:r>
          </w:p>
        </w:tc>
        <w:tc>
          <w:tcPr>
            <w:tcW w:w="0" w:type="auto"/>
            <w:tcBorders>
              <w:top w:val="nil"/>
              <w:left w:val="nil"/>
              <w:bottom w:val="single" w:color="000000" w:sz="8" w:space="0"/>
              <w:right w:val="single" w:color="000000" w:sz="8" w:space="0"/>
            </w:tcBorders>
            <w:shd w:val="clear" w:color="auto" w:fill="auto"/>
            <w:noWrap/>
            <w:vAlign w:val="bottom"/>
          </w:tcPr>
          <w:p w14:paraId="25BD989B">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7,750.04</w:t>
            </w:r>
          </w:p>
        </w:tc>
        <w:tc>
          <w:tcPr>
            <w:tcW w:w="0" w:type="auto"/>
            <w:tcBorders>
              <w:top w:val="nil"/>
              <w:left w:val="nil"/>
              <w:bottom w:val="single" w:color="000000" w:sz="8" w:space="0"/>
              <w:right w:val="single" w:color="000000" w:sz="8" w:space="0"/>
            </w:tcBorders>
            <w:shd w:val="clear" w:color="auto" w:fill="auto"/>
            <w:noWrap/>
            <w:vAlign w:val="center"/>
          </w:tcPr>
          <w:p w14:paraId="25E2F206">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-11%</w:t>
            </w:r>
          </w:p>
        </w:tc>
        <w:tc>
          <w:tcPr>
            <w:tcW w:w="0" w:type="auto"/>
            <w:tcBorders>
              <w:top w:val="nil"/>
              <w:left w:val="nil"/>
              <w:bottom w:val="single" w:color="000000" w:sz="8" w:space="0"/>
              <w:right w:val="single" w:color="000000" w:sz="8" w:space="0"/>
            </w:tcBorders>
            <w:shd w:val="clear" w:color="auto" w:fill="auto"/>
            <w:noWrap/>
            <w:vAlign w:val="center"/>
          </w:tcPr>
          <w:p w14:paraId="4B25CDED">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0</w:t>
            </w:r>
          </w:p>
        </w:tc>
        <w:tc>
          <w:tcPr>
            <w:tcW w:w="0" w:type="auto"/>
            <w:tcBorders>
              <w:top w:val="nil"/>
              <w:left w:val="nil"/>
              <w:bottom w:val="single" w:color="000000" w:sz="8" w:space="0"/>
              <w:right w:val="single" w:color="000000" w:sz="8" w:space="0"/>
            </w:tcBorders>
            <w:shd w:val="clear" w:color="auto" w:fill="auto"/>
            <w:noWrap/>
            <w:vAlign w:val="center"/>
          </w:tcPr>
          <w:p w14:paraId="01860710">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71%</w:t>
            </w:r>
          </w:p>
        </w:tc>
        <w:tc>
          <w:tcPr>
            <w:tcW w:w="0" w:type="auto"/>
            <w:tcBorders>
              <w:top w:val="nil"/>
              <w:left w:val="nil"/>
              <w:bottom w:val="single" w:color="000000" w:sz="8" w:space="0"/>
              <w:right w:val="single" w:color="000000" w:sz="8" w:space="0"/>
            </w:tcBorders>
            <w:shd w:val="clear" w:color="auto" w:fill="auto"/>
            <w:noWrap/>
            <w:vAlign w:val="bottom"/>
          </w:tcPr>
          <w:p w14:paraId="76600328">
            <w:pPr>
              <w:keepNext w:val="0"/>
              <w:keepLines w:val="0"/>
              <w:widowControl/>
              <w:suppressLineNumbers w:val="0"/>
              <w:jc w:val="center"/>
              <w:textAlignment w:val="center"/>
              <w:rPr>
                <w:rFonts w:hint="default"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1480.73</w:t>
            </w:r>
          </w:p>
        </w:tc>
        <w:tc>
          <w:tcPr>
            <w:tcW w:w="883" w:type="dxa"/>
            <w:tcBorders>
              <w:top w:val="nil"/>
              <w:left w:val="nil"/>
              <w:bottom w:val="single" w:color="000000" w:sz="8" w:space="0"/>
              <w:right w:val="single" w:color="000000" w:sz="8" w:space="0"/>
            </w:tcBorders>
            <w:shd w:val="clear" w:color="auto" w:fill="auto"/>
            <w:noWrap/>
            <w:vAlign w:val="center"/>
          </w:tcPr>
          <w:p w14:paraId="4E9366EA">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-17%</w:t>
            </w:r>
          </w:p>
        </w:tc>
        <w:tc>
          <w:tcPr>
            <w:tcW w:w="0" w:type="auto"/>
            <w:tcBorders>
              <w:top w:val="nil"/>
              <w:left w:val="nil"/>
              <w:bottom w:val="single" w:color="000000" w:sz="8" w:space="0"/>
              <w:right w:val="single" w:color="000000" w:sz="8" w:space="0"/>
            </w:tcBorders>
            <w:shd w:val="clear" w:color="auto" w:fill="auto"/>
            <w:noWrap/>
            <w:vAlign w:val="bottom"/>
          </w:tcPr>
          <w:p w14:paraId="5C674B0B">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1144.82</w:t>
            </w:r>
          </w:p>
        </w:tc>
        <w:tc>
          <w:tcPr>
            <w:tcW w:w="1190" w:type="dxa"/>
            <w:tcBorders>
              <w:top w:val="nil"/>
              <w:left w:val="nil"/>
              <w:bottom w:val="single" w:color="000000" w:sz="8" w:space="0"/>
              <w:right w:val="single" w:color="000000" w:sz="8" w:space="0"/>
            </w:tcBorders>
            <w:shd w:val="clear" w:color="auto" w:fill="auto"/>
            <w:noWrap/>
            <w:vAlign w:val="bottom"/>
          </w:tcPr>
          <w:p w14:paraId="591C7672">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-147.38</w:t>
            </w:r>
          </w:p>
        </w:tc>
        <w:tc>
          <w:tcPr>
            <w:tcW w:w="911" w:type="dxa"/>
            <w:tcBorders>
              <w:top w:val="nil"/>
              <w:left w:val="nil"/>
              <w:bottom w:val="single" w:color="000000" w:sz="8" w:space="0"/>
              <w:right w:val="single" w:color="000000" w:sz="8" w:space="0"/>
            </w:tcBorders>
            <w:shd w:val="clear" w:color="auto" w:fill="auto"/>
            <w:noWrap/>
            <w:vAlign w:val="center"/>
          </w:tcPr>
          <w:p w14:paraId="4CEC6FF4">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-10%</w:t>
            </w:r>
          </w:p>
        </w:tc>
        <w:tc>
          <w:tcPr>
            <w:tcW w:w="0" w:type="auto"/>
            <w:tcBorders>
              <w:top w:val="nil"/>
              <w:left w:val="nil"/>
              <w:bottom w:val="single" w:color="000000" w:sz="8" w:space="0"/>
              <w:right w:val="single" w:color="000000" w:sz="8" w:space="0"/>
            </w:tcBorders>
            <w:shd w:val="clear" w:color="auto" w:fill="auto"/>
            <w:noWrap/>
            <w:vAlign w:val="bottom"/>
          </w:tcPr>
          <w:p w14:paraId="464EB24C">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1235.42</w:t>
            </w:r>
          </w:p>
        </w:tc>
      </w:tr>
      <w:tr w14:paraId="4AB6E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6D2C35DA">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说明：</w:t>
            </w:r>
          </w:p>
        </w:tc>
        <w:tc>
          <w:tcPr>
            <w:tcW w:w="0" w:type="auto"/>
            <w:gridSpan w:val="12"/>
            <w:tcBorders>
              <w:top w:val="nil"/>
              <w:left w:val="nil"/>
              <w:bottom w:val="single" w:color="000000" w:sz="8" w:space="0"/>
              <w:right w:val="single" w:color="000000" w:sz="8" w:space="0"/>
            </w:tcBorders>
            <w:shd w:val="clear" w:color="auto" w:fill="auto"/>
            <w:noWrap/>
            <w:vAlign w:val="center"/>
          </w:tcPr>
          <w:p w14:paraId="03270D38">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p>
        </w:tc>
      </w:tr>
      <w:tr w14:paraId="3ED7B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17F14F14">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板块</w:t>
            </w:r>
          </w:p>
        </w:tc>
        <w:tc>
          <w:tcPr>
            <w:tcW w:w="0" w:type="auto"/>
            <w:gridSpan w:val="12"/>
            <w:tcBorders>
              <w:top w:val="nil"/>
              <w:left w:val="nil"/>
              <w:bottom w:val="single" w:color="000000" w:sz="8" w:space="0"/>
              <w:right w:val="single" w:color="000000" w:sz="8" w:space="0"/>
            </w:tcBorders>
            <w:shd w:val="clear" w:color="auto" w:fill="auto"/>
            <w:noWrap/>
            <w:vAlign w:val="center"/>
          </w:tcPr>
          <w:p w14:paraId="3E98CC55">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房屋建筑板块</w:t>
            </w:r>
          </w:p>
        </w:tc>
      </w:tr>
      <w:tr w14:paraId="51D13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519DBA99">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公司名称</w:t>
            </w:r>
          </w:p>
        </w:tc>
        <w:tc>
          <w:tcPr>
            <w:tcW w:w="0" w:type="auto"/>
            <w:gridSpan w:val="12"/>
            <w:tcBorders>
              <w:top w:val="nil"/>
              <w:left w:val="nil"/>
              <w:bottom w:val="single" w:color="000000" w:sz="8" w:space="0"/>
              <w:right w:val="single" w:color="000000" w:sz="8" w:space="0"/>
            </w:tcBorders>
            <w:shd w:val="clear" w:color="auto" w:fill="auto"/>
            <w:noWrap/>
            <w:vAlign w:val="center"/>
          </w:tcPr>
          <w:p w14:paraId="46E3728B">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新疆通力建设集团股份有限公司</w:t>
            </w:r>
          </w:p>
        </w:tc>
      </w:tr>
      <w:tr w14:paraId="6ED1D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384EF609">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科目（万元，%）</w:t>
            </w:r>
          </w:p>
        </w:tc>
        <w:tc>
          <w:tcPr>
            <w:tcW w:w="0" w:type="auto"/>
            <w:tcBorders>
              <w:top w:val="nil"/>
              <w:left w:val="nil"/>
              <w:bottom w:val="single" w:color="000000" w:sz="8" w:space="0"/>
              <w:right w:val="single" w:color="000000" w:sz="8" w:space="0"/>
            </w:tcBorders>
            <w:shd w:val="clear" w:color="auto" w:fill="auto"/>
            <w:noWrap/>
            <w:vAlign w:val="center"/>
          </w:tcPr>
          <w:p w14:paraId="51FFD6E8">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总资产</w:t>
            </w:r>
          </w:p>
        </w:tc>
        <w:tc>
          <w:tcPr>
            <w:tcW w:w="0" w:type="auto"/>
            <w:tcBorders>
              <w:top w:val="nil"/>
              <w:left w:val="nil"/>
              <w:bottom w:val="single" w:color="000000" w:sz="8" w:space="0"/>
              <w:right w:val="single" w:color="000000" w:sz="8" w:space="0"/>
            </w:tcBorders>
            <w:shd w:val="clear" w:color="auto" w:fill="auto"/>
            <w:noWrap/>
            <w:vAlign w:val="center"/>
          </w:tcPr>
          <w:p w14:paraId="10FE3FA3">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同比</w:t>
            </w:r>
          </w:p>
        </w:tc>
        <w:tc>
          <w:tcPr>
            <w:tcW w:w="0" w:type="auto"/>
            <w:tcBorders>
              <w:top w:val="nil"/>
              <w:left w:val="nil"/>
              <w:bottom w:val="single" w:color="000000" w:sz="8" w:space="0"/>
              <w:right w:val="single" w:color="000000" w:sz="8" w:space="0"/>
            </w:tcBorders>
            <w:shd w:val="clear" w:color="auto" w:fill="auto"/>
            <w:noWrap/>
            <w:vAlign w:val="center"/>
          </w:tcPr>
          <w:p w14:paraId="1B41A984">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总负债</w:t>
            </w:r>
          </w:p>
        </w:tc>
        <w:tc>
          <w:tcPr>
            <w:tcW w:w="0" w:type="auto"/>
            <w:tcBorders>
              <w:top w:val="nil"/>
              <w:left w:val="nil"/>
              <w:bottom w:val="single" w:color="000000" w:sz="8" w:space="0"/>
              <w:right w:val="single" w:color="000000" w:sz="8" w:space="0"/>
            </w:tcBorders>
            <w:shd w:val="clear" w:color="auto" w:fill="auto"/>
            <w:noWrap/>
            <w:vAlign w:val="center"/>
          </w:tcPr>
          <w:p w14:paraId="49435F24">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同比</w:t>
            </w:r>
          </w:p>
        </w:tc>
        <w:tc>
          <w:tcPr>
            <w:tcW w:w="0" w:type="auto"/>
            <w:tcBorders>
              <w:top w:val="nil"/>
              <w:left w:val="nil"/>
              <w:bottom w:val="single" w:color="000000" w:sz="8" w:space="0"/>
              <w:right w:val="single" w:color="000000" w:sz="8" w:space="0"/>
            </w:tcBorders>
            <w:shd w:val="clear" w:color="auto" w:fill="auto"/>
            <w:noWrap/>
            <w:vAlign w:val="center"/>
          </w:tcPr>
          <w:p w14:paraId="638E4861">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有息负债</w:t>
            </w:r>
          </w:p>
        </w:tc>
        <w:tc>
          <w:tcPr>
            <w:tcW w:w="0" w:type="auto"/>
            <w:tcBorders>
              <w:top w:val="nil"/>
              <w:left w:val="nil"/>
              <w:bottom w:val="single" w:color="000000" w:sz="8" w:space="0"/>
              <w:right w:val="single" w:color="000000" w:sz="8" w:space="0"/>
            </w:tcBorders>
            <w:shd w:val="clear" w:color="auto" w:fill="auto"/>
            <w:noWrap/>
            <w:vAlign w:val="center"/>
          </w:tcPr>
          <w:p w14:paraId="7F33BB09">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资产负债率</w:t>
            </w:r>
          </w:p>
        </w:tc>
        <w:tc>
          <w:tcPr>
            <w:tcW w:w="0" w:type="auto"/>
            <w:tcBorders>
              <w:top w:val="nil"/>
              <w:left w:val="nil"/>
              <w:bottom w:val="single" w:color="000000" w:sz="8" w:space="0"/>
              <w:right w:val="single" w:color="000000" w:sz="8" w:space="0"/>
            </w:tcBorders>
            <w:shd w:val="clear" w:color="auto" w:fill="auto"/>
            <w:noWrap/>
            <w:vAlign w:val="center"/>
          </w:tcPr>
          <w:p w14:paraId="731E2913">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营业收入</w:t>
            </w:r>
          </w:p>
        </w:tc>
        <w:tc>
          <w:tcPr>
            <w:tcW w:w="0" w:type="auto"/>
            <w:tcBorders>
              <w:top w:val="nil"/>
              <w:left w:val="nil"/>
              <w:bottom w:val="single" w:color="000000" w:sz="8" w:space="0"/>
              <w:right w:val="single" w:color="000000" w:sz="8" w:space="0"/>
            </w:tcBorders>
            <w:shd w:val="clear" w:color="auto" w:fill="auto"/>
            <w:noWrap/>
            <w:vAlign w:val="center"/>
          </w:tcPr>
          <w:p w14:paraId="4F13DB6A">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同比</w:t>
            </w:r>
          </w:p>
        </w:tc>
        <w:tc>
          <w:tcPr>
            <w:tcW w:w="0" w:type="auto"/>
            <w:tcBorders>
              <w:top w:val="nil"/>
              <w:left w:val="nil"/>
              <w:bottom w:val="single" w:color="000000" w:sz="8" w:space="0"/>
              <w:right w:val="single" w:color="000000" w:sz="8" w:space="0"/>
            </w:tcBorders>
            <w:shd w:val="clear" w:color="auto" w:fill="auto"/>
            <w:noWrap/>
            <w:vAlign w:val="center"/>
          </w:tcPr>
          <w:p w14:paraId="70AA6A7C">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营业成本</w:t>
            </w:r>
          </w:p>
        </w:tc>
        <w:tc>
          <w:tcPr>
            <w:tcW w:w="0" w:type="auto"/>
            <w:tcBorders>
              <w:top w:val="nil"/>
              <w:left w:val="nil"/>
              <w:bottom w:val="single" w:color="000000" w:sz="8" w:space="0"/>
              <w:right w:val="single" w:color="000000" w:sz="8" w:space="0"/>
            </w:tcBorders>
            <w:shd w:val="clear" w:color="auto" w:fill="auto"/>
            <w:noWrap/>
            <w:vAlign w:val="center"/>
          </w:tcPr>
          <w:p w14:paraId="2464E942">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净利润</w:t>
            </w:r>
          </w:p>
        </w:tc>
        <w:tc>
          <w:tcPr>
            <w:tcW w:w="0" w:type="auto"/>
            <w:tcBorders>
              <w:top w:val="nil"/>
              <w:left w:val="nil"/>
              <w:bottom w:val="single" w:color="000000" w:sz="8" w:space="0"/>
              <w:right w:val="single" w:color="000000" w:sz="8" w:space="0"/>
            </w:tcBorders>
            <w:shd w:val="clear" w:color="auto" w:fill="auto"/>
            <w:noWrap/>
            <w:vAlign w:val="center"/>
          </w:tcPr>
          <w:p w14:paraId="063BE299">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净利率</w:t>
            </w:r>
          </w:p>
        </w:tc>
        <w:tc>
          <w:tcPr>
            <w:tcW w:w="0" w:type="auto"/>
            <w:tcBorders>
              <w:top w:val="nil"/>
              <w:left w:val="nil"/>
              <w:bottom w:val="single" w:color="000000" w:sz="8" w:space="0"/>
              <w:right w:val="single" w:color="000000" w:sz="8" w:space="0"/>
            </w:tcBorders>
            <w:shd w:val="clear" w:color="auto" w:fill="auto"/>
            <w:noWrap/>
            <w:vAlign w:val="center"/>
          </w:tcPr>
          <w:p w14:paraId="31A30D08">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经营性净现金流</w:t>
            </w:r>
          </w:p>
        </w:tc>
      </w:tr>
      <w:tr w14:paraId="0948B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447874BD">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2021</w:t>
            </w:r>
          </w:p>
        </w:tc>
        <w:tc>
          <w:tcPr>
            <w:tcW w:w="0" w:type="auto"/>
            <w:tcBorders>
              <w:top w:val="nil"/>
              <w:left w:val="nil"/>
              <w:bottom w:val="single" w:color="000000" w:sz="8" w:space="0"/>
              <w:right w:val="single" w:color="000000" w:sz="8" w:space="0"/>
            </w:tcBorders>
            <w:shd w:val="clear" w:color="auto" w:fill="auto"/>
            <w:noWrap/>
            <w:vAlign w:val="bottom"/>
          </w:tcPr>
          <w:p w14:paraId="26E1C64E">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53780.4</w:t>
            </w:r>
          </w:p>
        </w:tc>
        <w:tc>
          <w:tcPr>
            <w:tcW w:w="0" w:type="auto"/>
            <w:tcBorders>
              <w:top w:val="nil"/>
              <w:left w:val="nil"/>
              <w:bottom w:val="single" w:color="000000" w:sz="8" w:space="0"/>
              <w:right w:val="single" w:color="000000" w:sz="8" w:space="0"/>
            </w:tcBorders>
            <w:shd w:val="clear" w:color="auto" w:fill="auto"/>
            <w:noWrap/>
            <w:vAlign w:val="center"/>
          </w:tcPr>
          <w:p w14:paraId="62FD9FCC">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p>
        </w:tc>
        <w:tc>
          <w:tcPr>
            <w:tcW w:w="0" w:type="auto"/>
            <w:tcBorders>
              <w:top w:val="nil"/>
              <w:left w:val="nil"/>
              <w:bottom w:val="single" w:color="000000" w:sz="8" w:space="0"/>
              <w:right w:val="single" w:color="000000" w:sz="8" w:space="0"/>
            </w:tcBorders>
            <w:shd w:val="clear" w:color="auto" w:fill="auto"/>
            <w:noWrap/>
            <w:vAlign w:val="bottom"/>
          </w:tcPr>
          <w:p w14:paraId="7AEBA468">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32852.46</w:t>
            </w:r>
          </w:p>
        </w:tc>
        <w:tc>
          <w:tcPr>
            <w:tcW w:w="0" w:type="auto"/>
            <w:tcBorders>
              <w:top w:val="nil"/>
              <w:left w:val="nil"/>
              <w:bottom w:val="single" w:color="000000" w:sz="8" w:space="0"/>
              <w:right w:val="single" w:color="000000" w:sz="8" w:space="0"/>
            </w:tcBorders>
            <w:shd w:val="clear" w:color="auto" w:fill="auto"/>
            <w:noWrap/>
            <w:vAlign w:val="center"/>
          </w:tcPr>
          <w:p w14:paraId="40E75785">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p>
        </w:tc>
        <w:tc>
          <w:tcPr>
            <w:tcW w:w="0" w:type="auto"/>
            <w:tcBorders>
              <w:top w:val="nil"/>
              <w:left w:val="nil"/>
              <w:bottom w:val="single" w:color="000000" w:sz="8" w:space="0"/>
              <w:right w:val="single" w:color="000000" w:sz="8" w:space="0"/>
            </w:tcBorders>
            <w:shd w:val="clear" w:color="auto" w:fill="auto"/>
            <w:noWrap/>
            <w:vAlign w:val="center"/>
          </w:tcPr>
          <w:p w14:paraId="23D275C4">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9183.65</w:t>
            </w:r>
          </w:p>
        </w:tc>
        <w:tc>
          <w:tcPr>
            <w:tcW w:w="0" w:type="auto"/>
            <w:tcBorders>
              <w:top w:val="nil"/>
              <w:left w:val="nil"/>
              <w:bottom w:val="single" w:color="000000" w:sz="8" w:space="0"/>
              <w:right w:val="single" w:color="000000" w:sz="8" w:space="0"/>
            </w:tcBorders>
            <w:shd w:val="clear" w:color="auto" w:fill="auto"/>
            <w:noWrap/>
            <w:vAlign w:val="center"/>
          </w:tcPr>
          <w:p w14:paraId="7D030489">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61.09%</w:t>
            </w:r>
          </w:p>
        </w:tc>
        <w:tc>
          <w:tcPr>
            <w:tcW w:w="0" w:type="auto"/>
            <w:tcBorders>
              <w:top w:val="nil"/>
              <w:left w:val="nil"/>
              <w:bottom w:val="single" w:color="000000" w:sz="8" w:space="0"/>
              <w:right w:val="single" w:color="000000" w:sz="8" w:space="0"/>
            </w:tcBorders>
            <w:shd w:val="clear" w:color="auto" w:fill="auto"/>
            <w:noWrap/>
            <w:vAlign w:val="center"/>
          </w:tcPr>
          <w:p w14:paraId="4CE563FB">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42025.41</w:t>
            </w:r>
          </w:p>
        </w:tc>
        <w:tc>
          <w:tcPr>
            <w:tcW w:w="0" w:type="auto"/>
            <w:tcBorders>
              <w:top w:val="nil"/>
              <w:left w:val="nil"/>
              <w:bottom w:val="single" w:color="000000" w:sz="8" w:space="0"/>
              <w:right w:val="single" w:color="000000" w:sz="8" w:space="0"/>
            </w:tcBorders>
            <w:shd w:val="clear" w:color="auto" w:fill="auto"/>
            <w:noWrap/>
            <w:vAlign w:val="center"/>
          </w:tcPr>
          <w:p w14:paraId="3F6379AB">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p>
        </w:tc>
        <w:tc>
          <w:tcPr>
            <w:tcW w:w="0" w:type="auto"/>
            <w:tcBorders>
              <w:top w:val="nil"/>
              <w:left w:val="nil"/>
              <w:bottom w:val="single" w:color="000000" w:sz="8" w:space="0"/>
              <w:right w:val="single" w:color="000000" w:sz="8" w:space="0"/>
            </w:tcBorders>
            <w:shd w:val="clear" w:color="auto" w:fill="auto"/>
            <w:noWrap/>
            <w:vAlign w:val="bottom"/>
          </w:tcPr>
          <w:p w14:paraId="00F61D16">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40396.72</w:t>
            </w:r>
          </w:p>
        </w:tc>
        <w:tc>
          <w:tcPr>
            <w:tcW w:w="0" w:type="auto"/>
            <w:tcBorders>
              <w:top w:val="nil"/>
              <w:left w:val="nil"/>
              <w:bottom w:val="single" w:color="000000" w:sz="8" w:space="0"/>
              <w:right w:val="single" w:color="000000" w:sz="8" w:space="0"/>
            </w:tcBorders>
            <w:shd w:val="clear" w:color="auto" w:fill="auto"/>
            <w:noWrap/>
            <w:vAlign w:val="bottom"/>
          </w:tcPr>
          <w:p w14:paraId="36947E4B">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111.35</w:t>
            </w:r>
          </w:p>
        </w:tc>
        <w:tc>
          <w:tcPr>
            <w:tcW w:w="0" w:type="auto"/>
            <w:tcBorders>
              <w:top w:val="nil"/>
              <w:left w:val="nil"/>
              <w:bottom w:val="single" w:color="000000" w:sz="8" w:space="0"/>
              <w:right w:val="single" w:color="000000" w:sz="8" w:space="0"/>
            </w:tcBorders>
            <w:shd w:val="clear" w:color="auto" w:fill="auto"/>
            <w:noWrap/>
            <w:vAlign w:val="center"/>
          </w:tcPr>
          <w:p w14:paraId="0BFAC0DA">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0.26%</w:t>
            </w:r>
          </w:p>
        </w:tc>
        <w:tc>
          <w:tcPr>
            <w:tcW w:w="0" w:type="auto"/>
            <w:tcBorders>
              <w:top w:val="nil"/>
              <w:left w:val="nil"/>
              <w:bottom w:val="single" w:color="000000" w:sz="8" w:space="0"/>
              <w:right w:val="single" w:color="000000" w:sz="8" w:space="0"/>
            </w:tcBorders>
            <w:shd w:val="clear" w:color="auto" w:fill="auto"/>
            <w:noWrap/>
            <w:vAlign w:val="bottom"/>
          </w:tcPr>
          <w:p w14:paraId="1D687322">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1695.52</w:t>
            </w:r>
          </w:p>
        </w:tc>
      </w:tr>
      <w:tr w14:paraId="6D895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45045954">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2022</w:t>
            </w:r>
          </w:p>
        </w:tc>
        <w:tc>
          <w:tcPr>
            <w:tcW w:w="0" w:type="auto"/>
            <w:tcBorders>
              <w:top w:val="nil"/>
              <w:left w:val="nil"/>
              <w:bottom w:val="single" w:color="000000" w:sz="8" w:space="0"/>
              <w:right w:val="single" w:color="000000" w:sz="8" w:space="0"/>
            </w:tcBorders>
            <w:shd w:val="clear" w:color="auto" w:fill="auto"/>
            <w:noWrap/>
            <w:vAlign w:val="center"/>
          </w:tcPr>
          <w:p w14:paraId="7CBAB083">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53893.04</w:t>
            </w:r>
          </w:p>
        </w:tc>
        <w:tc>
          <w:tcPr>
            <w:tcW w:w="0" w:type="auto"/>
            <w:tcBorders>
              <w:top w:val="nil"/>
              <w:left w:val="nil"/>
              <w:bottom w:val="single" w:color="000000" w:sz="8" w:space="0"/>
              <w:right w:val="single" w:color="000000" w:sz="8" w:space="0"/>
            </w:tcBorders>
            <w:shd w:val="clear" w:color="auto" w:fill="auto"/>
            <w:noWrap/>
            <w:vAlign w:val="center"/>
          </w:tcPr>
          <w:p w14:paraId="61630C5C">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0.21%</w:t>
            </w:r>
          </w:p>
        </w:tc>
        <w:tc>
          <w:tcPr>
            <w:tcW w:w="0" w:type="auto"/>
            <w:tcBorders>
              <w:top w:val="nil"/>
              <w:left w:val="nil"/>
              <w:bottom w:val="single" w:color="000000" w:sz="8" w:space="0"/>
              <w:right w:val="single" w:color="000000" w:sz="8" w:space="0"/>
            </w:tcBorders>
            <w:shd w:val="clear" w:color="auto" w:fill="auto"/>
            <w:noWrap/>
            <w:vAlign w:val="center"/>
          </w:tcPr>
          <w:p w14:paraId="3C2B300F">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32937.1</w:t>
            </w:r>
          </w:p>
        </w:tc>
        <w:tc>
          <w:tcPr>
            <w:tcW w:w="0" w:type="auto"/>
            <w:tcBorders>
              <w:top w:val="nil"/>
              <w:left w:val="nil"/>
              <w:bottom w:val="single" w:color="000000" w:sz="8" w:space="0"/>
              <w:right w:val="single" w:color="000000" w:sz="8" w:space="0"/>
            </w:tcBorders>
            <w:shd w:val="clear" w:color="auto" w:fill="auto"/>
            <w:noWrap/>
            <w:vAlign w:val="center"/>
          </w:tcPr>
          <w:p w14:paraId="045CA55F">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0.26%</w:t>
            </w:r>
          </w:p>
        </w:tc>
        <w:tc>
          <w:tcPr>
            <w:tcW w:w="0" w:type="auto"/>
            <w:tcBorders>
              <w:top w:val="nil"/>
              <w:left w:val="nil"/>
              <w:bottom w:val="single" w:color="000000" w:sz="8" w:space="0"/>
              <w:right w:val="single" w:color="000000" w:sz="8" w:space="0"/>
            </w:tcBorders>
            <w:shd w:val="clear" w:color="auto" w:fill="auto"/>
            <w:noWrap/>
            <w:vAlign w:val="center"/>
          </w:tcPr>
          <w:p w14:paraId="5F3C4AD4">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11363.4</w:t>
            </w:r>
          </w:p>
        </w:tc>
        <w:tc>
          <w:tcPr>
            <w:tcW w:w="0" w:type="auto"/>
            <w:tcBorders>
              <w:top w:val="nil"/>
              <w:left w:val="nil"/>
              <w:bottom w:val="single" w:color="000000" w:sz="8" w:space="0"/>
              <w:right w:val="single" w:color="000000" w:sz="8" w:space="0"/>
            </w:tcBorders>
            <w:shd w:val="clear" w:color="auto" w:fill="auto"/>
            <w:noWrap/>
            <w:vAlign w:val="center"/>
          </w:tcPr>
          <w:p w14:paraId="2288B952">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61.12%</w:t>
            </w:r>
          </w:p>
        </w:tc>
        <w:tc>
          <w:tcPr>
            <w:tcW w:w="0" w:type="auto"/>
            <w:tcBorders>
              <w:top w:val="nil"/>
              <w:left w:val="nil"/>
              <w:bottom w:val="single" w:color="000000" w:sz="8" w:space="0"/>
              <w:right w:val="single" w:color="000000" w:sz="8" w:space="0"/>
            </w:tcBorders>
            <w:shd w:val="clear" w:color="auto" w:fill="auto"/>
            <w:noWrap/>
            <w:vAlign w:val="center"/>
          </w:tcPr>
          <w:p w14:paraId="7A1FE019">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29170.4</w:t>
            </w:r>
          </w:p>
        </w:tc>
        <w:tc>
          <w:tcPr>
            <w:tcW w:w="0" w:type="auto"/>
            <w:tcBorders>
              <w:top w:val="nil"/>
              <w:left w:val="nil"/>
              <w:bottom w:val="single" w:color="000000" w:sz="8" w:space="0"/>
              <w:right w:val="single" w:color="000000" w:sz="8" w:space="0"/>
            </w:tcBorders>
            <w:shd w:val="clear" w:color="auto" w:fill="auto"/>
            <w:noWrap/>
            <w:vAlign w:val="center"/>
          </w:tcPr>
          <w:p w14:paraId="47D7A963">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-44.07%</w:t>
            </w:r>
          </w:p>
        </w:tc>
        <w:tc>
          <w:tcPr>
            <w:tcW w:w="0" w:type="auto"/>
            <w:tcBorders>
              <w:top w:val="nil"/>
              <w:left w:val="nil"/>
              <w:bottom w:val="single" w:color="000000" w:sz="8" w:space="0"/>
              <w:right w:val="single" w:color="000000" w:sz="8" w:space="0"/>
            </w:tcBorders>
            <w:shd w:val="clear" w:color="auto" w:fill="auto"/>
            <w:noWrap/>
            <w:vAlign w:val="center"/>
          </w:tcPr>
          <w:p w14:paraId="27D66C04">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27711.83</w:t>
            </w:r>
          </w:p>
        </w:tc>
        <w:tc>
          <w:tcPr>
            <w:tcW w:w="0" w:type="auto"/>
            <w:tcBorders>
              <w:top w:val="nil"/>
              <w:left w:val="nil"/>
              <w:bottom w:val="single" w:color="000000" w:sz="8" w:space="0"/>
              <w:right w:val="single" w:color="000000" w:sz="8" w:space="0"/>
            </w:tcBorders>
            <w:shd w:val="clear" w:color="auto" w:fill="auto"/>
            <w:noWrap/>
            <w:vAlign w:val="center"/>
          </w:tcPr>
          <w:p w14:paraId="46099208">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28</w:t>
            </w:r>
          </w:p>
        </w:tc>
        <w:tc>
          <w:tcPr>
            <w:tcW w:w="0" w:type="auto"/>
            <w:tcBorders>
              <w:top w:val="nil"/>
              <w:left w:val="nil"/>
              <w:bottom w:val="single" w:color="000000" w:sz="8" w:space="0"/>
              <w:right w:val="single" w:color="000000" w:sz="8" w:space="0"/>
            </w:tcBorders>
            <w:shd w:val="clear" w:color="auto" w:fill="auto"/>
            <w:noWrap/>
            <w:vAlign w:val="center"/>
          </w:tcPr>
          <w:p w14:paraId="21A238A7">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0.10%</w:t>
            </w:r>
          </w:p>
        </w:tc>
        <w:tc>
          <w:tcPr>
            <w:tcW w:w="0" w:type="auto"/>
            <w:tcBorders>
              <w:top w:val="nil"/>
              <w:left w:val="nil"/>
              <w:bottom w:val="single" w:color="000000" w:sz="8" w:space="0"/>
              <w:right w:val="single" w:color="000000" w:sz="8" w:space="0"/>
            </w:tcBorders>
            <w:shd w:val="clear" w:color="auto" w:fill="auto"/>
            <w:noWrap/>
            <w:vAlign w:val="center"/>
          </w:tcPr>
          <w:p w14:paraId="31350085">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164.56</w:t>
            </w:r>
          </w:p>
        </w:tc>
      </w:tr>
      <w:tr w14:paraId="0DF7F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single" w:color="000000" w:sz="8" w:space="0"/>
              <w:bottom w:val="nil"/>
              <w:right w:val="single" w:color="000000" w:sz="8" w:space="0"/>
            </w:tcBorders>
            <w:shd w:val="clear" w:color="auto" w:fill="auto"/>
            <w:noWrap/>
            <w:vAlign w:val="center"/>
          </w:tcPr>
          <w:p w14:paraId="3D941BCA">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2023</w:t>
            </w:r>
          </w:p>
        </w:tc>
        <w:tc>
          <w:tcPr>
            <w:tcW w:w="0" w:type="auto"/>
            <w:tcBorders>
              <w:top w:val="nil"/>
              <w:left w:val="nil"/>
              <w:bottom w:val="nil"/>
              <w:right w:val="single" w:color="000000" w:sz="8" w:space="0"/>
            </w:tcBorders>
            <w:shd w:val="clear" w:color="auto" w:fill="auto"/>
            <w:noWrap/>
            <w:vAlign w:val="center"/>
          </w:tcPr>
          <w:p w14:paraId="63C2A449">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52394.59</w:t>
            </w:r>
          </w:p>
        </w:tc>
        <w:tc>
          <w:tcPr>
            <w:tcW w:w="0" w:type="auto"/>
            <w:tcBorders>
              <w:top w:val="nil"/>
              <w:left w:val="nil"/>
              <w:bottom w:val="single" w:color="000000" w:sz="8" w:space="0"/>
              <w:right w:val="single" w:color="000000" w:sz="8" w:space="0"/>
            </w:tcBorders>
            <w:shd w:val="clear" w:color="auto" w:fill="auto"/>
            <w:noWrap/>
            <w:vAlign w:val="center"/>
          </w:tcPr>
          <w:p w14:paraId="18A6CE9B">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-2.86%</w:t>
            </w:r>
          </w:p>
        </w:tc>
        <w:tc>
          <w:tcPr>
            <w:tcW w:w="0" w:type="auto"/>
            <w:tcBorders>
              <w:top w:val="nil"/>
              <w:left w:val="nil"/>
              <w:bottom w:val="nil"/>
              <w:right w:val="single" w:color="000000" w:sz="8" w:space="0"/>
            </w:tcBorders>
            <w:shd w:val="clear" w:color="auto" w:fill="auto"/>
            <w:noWrap/>
            <w:vAlign w:val="center"/>
          </w:tcPr>
          <w:p w14:paraId="17A9D6C9">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29975.4</w:t>
            </w:r>
          </w:p>
        </w:tc>
        <w:tc>
          <w:tcPr>
            <w:tcW w:w="0" w:type="auto"/>
            <w:tcBorders>
              <w:top w:val="nil"/>
              <w:left w:val="nil"/>
              <w:bottom w:val="single" w:color="000000" w:sz="8" w:space="0"/>
              <w:right w:val="single" w:color="000000" w:sz="8" w:space="0"/>
            </w:tcBorders>
            <w:shd w:val="clear" w:color="auto" w:fill="auto"/>
            <w:noWrap/>
            <w:vAlign w:val="center"/>
          </w:tcPr>
          <w:p w14:paraId="5EC4AA8C">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-9.88%</w:t>
            </w:r>
          </w:p>
        </w:tc>
        <w:tc>
          <w:tcPr>
            <w:tcW w:w="0" w:type="auto"/>
            <w:tcBorders>
              <w:top w:val="nil"/>
              <w:left w:val="nil"/>
              <w:bottom w:val="nil"/>
              <w:right w:val="single" w:color="000000" w:sz="8" w:space="0"/>
            </w:tcBorders>
            <w:shd w:val="clear" w:color="auto" w:fill="auto"/>
            <w:noWrap/>
            <w:vAlign w:val="center"/>
          </w:tcPr>
          <w:p w14:paraId="09C9E949">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10047.13</w:t>
            </w:r>
          </w:p>
        </w:tc>
        <w:tc>
          <w:tcPr>
            <w:tcW w:w="0" w:type="auto"/>
            <w:tcBorders>
              <w:top w:val="nil"/>
              <w:left w:val="nil"/>
              <w:bottom w:val="single" w:color="000000" w:sz="8" w:space="0"/>
              <w:right w:val="single" w:color="000000" w:sz="8" w:space="0"/>
            </w:tcBorders>
            <w:shd w:val="clear" w:color="auto" w:fill="auto"/>
            <w:noWrap/>
            <w:vAlign w:val="center"/>
          </w:tcPr>
          <w:p w14:paraId="04EC7F03">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57.21%</w:t>
            </w:r>
          </w:p>
        </w:tc>
        <w:tc>
          <w:tcPr>
            <w:tcW w:w="0" w:type="auto"/>
            <w:tcBorders>
              <w:top w:val="nil"/>
              <w:left w:val="nil"/>
              <w:bottom w:val="nil"/>
              <w:right w:val="single" w:color="000000" w:sz="8" w:space="0"/>
            </w:tcBorders>
            <w:shd w:val="clear" w:color="auto" w:fill="auto"/>
            <w:noWrap/>
            <w:vAlign w:val="center"/>
          </w:tcPr>
          <w:p w14:paraId="444D855B">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37953.18</w:t>
            </w:r>
          </w:p>
        </w:tc>
        <w:tc>
          <w:tcPr>
            <w:tcW w:w="0" w:type="auto"/>
            <w:tcBorders>
              <w:top w:val="nil"/>
              <w:left w:val="nil"/>
              <w:bottom w:val="single" w:color="000000" w:sz="8" w:space="0"/>
              <w:right w:val="single" w:color="000000" w:sz="8" w:space="0"/>
            </w:tcBorders>
            <w:shd w:val="clear" w:color="auto" w:fill="auto"/>
            <w:noWrap/>
            <w:vAlign w:val="center"/>
          </w:tcPr>
          <w:p w14:paraId="1B63BC4B">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23.14%</w:t>
            </w:r>
          </w:p>
        </w:tc>
        <w:tc>
          <w:tcPr>
            <w:tcW w:w="0" w:type="auto"/>
            <w:tcBorders>
              <w:top w:val="nil"/>
              <w:left w:val="nil"/>
              <w:bottom w:val="nil"/>
              <w:right w:val="single" w:color="000000" w:sz="8" w:space="0"/>
            </w:tcBorders>
            <w:shd w:val="clear" w:color="auto" w:fill="auto"/>
            <w:noWrap/>
            <w:vAlign w:val="center"/>
          </w:tcPr>
          <w:p w14:paraId="7D93F0D2">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34046.86</w:t>
            </w:r>
          </w:p>
        </w:tc>
        <w:tc>
          <w:tcPr>
            <w:tcW w:w="0" w:type="auto"/>
            <w:tcBorders>
              <w:top w:val="nil"/>
              <w:left w:val="nil"/>
              <w:bottom w:val="nil"/>
              <w:right w:val="single" w:color="000000" w:sz="8" w:space="0"/>
            </w:tcBorders>
            <w:shd w:val="clear" w:color="auto" w:fill="auto"/>
            <w:noWrap/>
            <w:vAlign w:val="center"/>
          </w:tcPr>
          <w:p w14:paraId="75965736">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1449.43</w:t>
            </w:r>
          </w:p>
        </w:tc>
        <w:tc>
          <w:tcPr>
            <w:tcW w:w="0" w:type="auto"/>
            <w:tcBorders>
              <w:top w:val="nil"/>
              <w:left w:val="nil"/>
              <w:bottom w:val="single" w:color="000000" w:sz="8" w:space="0"/>
              <w:right w:val="single" w:color="000000" w:sz="8" w:space="0"/>
            </w:tcBorders>
            <w:shd w:val="clear" w:color="auto" w:fill="auto"/>
            <w:noWrap/>
            <w:vAlign w:val="center"/>
          </w:tcPr>
          <w:p w14:paraId="1B3F052E">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3.82%</w:t>
            </w:r>
          </w:p>
        </w:tc>
        <w:tc>
          <w:tcPr>
            <w:tcW w:w="0" w:type="auto"/>
            <w:tcBorders>
              <w:top w:val="nil"/>
              <w:left w:val="nil"/>
              <w:bottom w:val="nil"/>
              <w:right w:val="single" w:color="000000" w:sz="8" w:space="0"/>
            </w:tcBorders>
            <w:shd w:val="clear" w:color="auto" w:fill="auto"/>
            <w:noWrap/>
            <w:vAlign w:val="center"/>
          </w:tcPr>
          <w:p w14:paraId="4A034FA1">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1311.49</w:t>
            </w:r>
          </w:p>
        </w:tc>
      </w:tr>
      <w:tr w14:paraId="56212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center"/>
          </w:tcPr>
          <w:p w14:paraId="4D097FE4">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板块</w:t>
            </w:r>
          </w:p>
        </w:tc>
        <w:tc>
          <w:tcPr>
            <w:tcW w:w="0" w:type="auto"/>
            <w:gridSpan w:val="12"/>
            <w:tcBorders>
              <w:top w:val="single" w:color="000000" w:sz="8" w:space="0"/>
              <w:left w:val="nil"/>
              <w:bottom w:val="single" w:color="000000" w:sz="8" w:space="0"/>
              <w:right w:val="single" w:color="000000" w:sz="8" w:space="0"/>
            </w:tcBorders>
            <w:shd w:val="clear" w:color="auto" w:fill="auto"/>
            <w:noWrap/>
            <w:vAlign w:val="center"/>
          </w:tcPr>
          <w:p w14:paraId="06B778AB">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房产板块</w:t>
            </w:r>
          </w:p>
        </w:tc>
      </w:tr>
      <w:tr w14:paraId="12CCE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3DC194E8">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公司名称</w:t>
            </w:r>
          </w:p>
        </w:tc>
        <w:tc>
          <w:tcPr>
            <w:tcW w:w="0" w:type="auto"/>
            <w:gridSpan w:val="12"/>
            <w:tcBorders>
              <w:top w:val="nil"/>
              <w:left w:val="nil"/>
              <w:bottom w:val="single" w:color="000000" w:sz="8" w:space="0"/>
              <w:right w:val="single" w:color="000000" w:sz="8" w:space="0"/>
            </w:tcBorders>
            <w:shd w:val="clear" w:color="auto" w:fill="auto"/>
            <w:noWrap/>
            <w:vAlign w:val="center"/>
          </w:tcPr>
          <w:p w14:paraId="2EC1F184">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新疆通力房地产开发有限公司</w:t>
            </w:r>
          </w:p>
        </w:tc>
      </w:tr>
      <w:tr w14:paraId="1A89F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00131C77">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科目（万元，%）</w:t>
            </w:r>
          </w:p>
        </w:tc>
        <w:tc>
          <w:tcPr>
            <w:tcW w:w="0" w:type="auto"/>
            <w:tcBorders>
              <w:top w:val="nil"/>
              <w:left w:val="nil"/>
              <w:bottom w:val="single" w:color="000000" w:sz="8" w:space="0"/>
              <w:right w:val="single" w:color="000000" w:sz="8" w:space="0"/>
            </w:tcBorders>
            <w:shd w:val="clear" w:color="auto" w:fill="auto"/>
            <w:noWrap/>
            <w:vAlign w:val="center"/>
          </w:tcPr>
          <w:p w14:paraId="4C7D905C">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总资产</w:t>
            </w:r>
          </w:p>
        </w:tc>
        <w:tc>
          <w:tcPr>
            <w:tcW w:w="0" w:type="auto"/>
            <w:tcBorders>
              <w:top w:val="nil"/>
              <w:left w:val="nil"/>
              <w:bottom w:val="single" w:color="000000" w:sz="8" w:space="0"/>
              <w:right w:val="single" w:color="000000" w:sz="8" w:space="0"/>
            </w:tcBorders>
            <w:shd w:val="clear" w:color="auto" w:fill="auto"/>
            <w:noWrap/>
            <w:vAlign w:val="center"/>
          </w:tcPr>
          <w:p w14:paraId="7D309AC5">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同比</w:t>
            </w:r>
          </w:p>
        </w:tc>
        <w:tc>
          <w:tcPr>
            <w:tcW w:w="0" w:type="auto"/>
            <w:tcBorders>
              <w:top w:val="nil"/>
              <w:left w:val="nil"/>
              <w:bottom w:val="single" w:color="000000" w:sz="8" w:space="0"/>
              <w:right w:val="single" w:color="000000" w:sz="8" w:space="0"/>
            </w:tcBorders>
            <w:shd w:val="clear" w:color="auto" w:fill="auto"/>
            <w:noWrap/>
            <w:vAlign w:val="center"/>
          </w:tcPr>
          <w:p w14:paraId="45243026">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总负债</w:t>
            </w:r>
          </w:p>
        </w:tc>
        <w:tc>
          <w:tcPr>
            <w:tcW w:w="0" w:type="auto"/>
            <w:tcBorders>
              <w:top w:val="nil"/>
              <w:left w:val="nil"/>
              <w:bottom w:val="single" w:color="000000" w:sz="8" w:space="0"/>
              <w:right w:val="single" w:color="000000" w:sz="8" w:space="0"/>
            </w:tcBorders>
            <w:shd w:val="clear" w:color="auto" w:fill="auto"/>
            <w:noWrap/>
            <w:vAlign w:val="center"/>
          </w:tcPr>
          <w:p w14:paraId="348A3CE1">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同比</w:t>
            </w:r>
          </w:p>
        </w:tc>
        <w:tc>
          <w:tcPr>
            <w:tcW w:w="0" w:type="auto"/>
            <w:tcBorders>
              <w:top w:val="nil"/>
              <w:left w:val="nil"/>
              <w:bottom w:val="single" w:color="000000" w:sz="8" w:space="0"/>
              <w:right w:val="single" w:color="000000" w:sz="8" w:space="0"/>
            </w:tcBorders>
            <w:shd w:val="clear" w:color="auto" w:fill="auto"/>
            <w:noWrap/>
            <w:vAlign w:val="center"/>
          </w:tcPr>
          <w:p w14:paraId="2FC68EFC">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有息负债</w:t>
            </w:r>
          </w:p>
        </w:tc>
        <w:tc>
          <w:tcPr>
            <w:tcW w:w="0" w:type="auto"/>
            <w:tcBorders>
              <w:top w:val="nil"/>
              <w:left w:val="nil"/>
              <w:bottom w:val="single" w:color="000000" w:sz="8" w:space="0"/>
              <w:right w:val="single" w:color="000000" w:sz="8" w:space="0"/>
            </w:tcBorders>
            <w:shd w:val="clear" w:color="auto" w:fill="auto"/>
            <w:noWrap/>
            <w:vAlign w:val="center"/>
          </w:tcPr>
          <w:p w14:paraId="73878523">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资产负债率</w:t>
            </w:r>
          </w:p>
        </w:tc>
        <w:tc>
          <w:tcPr>
            <w:tcW w:w="0" w:type="auto"/>
            <w:tcBorders>
              <w:top w:val="nil"/>
              <w:left w:val="nil"/>
              <w:bottom w:val="single" w:color="000000" w:sz="8" w:space="0"/>
              <w:right w:val="single" w:color="000000" w:sz="8" w:space="0"/>
            </w:tcBorders>
            <w:shd w:val="clear" w:color="auto" w:fill="auto"/>
            <w:noWrap/>
            <w:vAlign w:val="center"/>
          </w:tcPr>
          <w:p w14:paraId="37636F18">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营业收入</w:t>
            </w:r>
          </w:p>
        </w:tc>
        <w:tc>
          <w:tcPr>
            <w:tcW w:w="0" w:type="auto"/>
            <w:tcBorders>
              <w:top w:val="nil"/>
              <w:left w:val="nil"/>
              <w:bottom w:val="single" w:color="000000" w:sz="8" w:space="0"/>
              <w:right w:val="single" w:color="000000" w:sz="8" w:space="0"/>
            </w:tcBorders>
            <w:shd w:val="clear" w:color="auto" w:fill="auto"/>
            <w:noWrap/>
            <w:vAlign w:val="center"/>
          </w:tcPr>
          <w:p w14:paraId="32520037">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同比</w:t>
            </w:r>
          </w:p>
        </w:tc>
        <w:tc>
          <w:tcPr>
            <w:tcW w:w="0" w:type="auto"/>
            <w:tcBorders>
              <w:top w:val="nil"/>
              <w:left w:val="nil"/>
              <w:bottom w:val="single" w:color="000000" w:sz="8" w:space="0"/>
              <w:right w:val="single" w:color="000000" w:sz="8" w:space="0"/>
            </w:tcBorders>
            <w:shd w:val="clear" w:color="auto" w:fill="auto"/>
            <w:noWrap/>
            <w:vAlign w:val="center"/>
          </w:tcPr>
          <w:p w14:paraId="0B3B38B4">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营业成本</w:t>
            </w:r>
          </w:p>
        </w:tc>
        <w:tc>
          <w:tcPr>
            <w:tcW w:w="0" w:type="auto"/>
            <w:tcBorders>
              <w:top w:val="nil"/>
              <w:left w:val="nil"/>
              <w:bottom w:val="single" w:color="000000" w:sz="8" w:space="0"/>
              <w:right w:val="single" w:color="000000" w:sz="8" w:space="0"/>
            </w:tcBorders>
            <w:shd w:val="clear" w:color="auto" w:fill="auto"/>
            <w:noWrap/>
            <w:vAlign w:val="center"/>
          </w:tcPr>
          <w:p w14:paraId="415F385A">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净利润</w:t>
            </w:r>
          </w:p>
        </w:tc>
        <w:tc>
          <w:tcPr>
            <w:tcW w:w="0" w:type="auto"/>
            <w:tcBorders>
              <w:top w:val="nil"/>
              <w:left w:val="nil"/>
              <w:bottom w:val="single" w:color="000000" w:sz="8" w:space="0"/>
              <w:right w:val="single" w:color="000000" w:sz="8" w:space="0"/>
            </w:tcBorders>
            <w:shd w:val="clear" w:color="auto" w:fill="auto"/>
            <w:noWrap/>
            <w:vAlign w:val="center"/>
          </w:tcPr>
          <w:p w14:paraId="6340645D">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净利率</w:t>
            </w:r>
          </w:p>
        </w:tc>
        <w:tc>
          <w:tcPr>
            <w:tcW w:w="0" w:type="auto"/>
            <w:tcBorders>
              <w:top w:val="nil"/>
              <w:left w:val="nil"/>
              <w:bottom w:val="single" w:color="000000" w:sz="8" w:space="0"/>
              <w:right w:val="single" w:color="000000" w:sz="8" w:space="0"/>
            </w:tcBorders>
            <w:shd w:val="clear" w:color="auto" w:fill="auto"/>
            <w:noWrap/>
            <w:vAlign w:val="center"/>
          </w:tcPr>
          <w:p w14:paraId="79205CD9">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经营性净现金流</w:t>
            </w:r>
          </w:p>
        </w:tc>
      </w:tr>
      <w:tr w14:paraId="578A1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6DEC6390">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2021</w:t>
            </w:r>
          </w:p>
        </w:tc>
        <w:tc>
          <w:tcPr>
            <w:tcW w:w="0" w:type="auto"/>
            <w:tcBorders>
              <w:top w:val="nil"/>
              <w:left w:val="nil"/>
              <w:bottom w:val="single" w:color="000000" w:sz="8" w:space="0"/>
              <w:right w:val="single" w:color="000000" w:sz="8" w:space="0"/>
            </w:tcBorders>
            <w:shd w:val="clear" w:color="auto" w:fill="auto"/>
            <w:noWrap/>
            <w:vAlign w:val="bottom"/>
          </w:tcPr>
          <w:p w14:paraId="24073DC6">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24666.85</w:t>
            </w:r>
          </w:p>
        </w:tc>
        <w:tc>
          <w:tcPr>
            <w:tcW w:w="0" w:type="auto"/>
            <w:tcBorders>
              <w:top w:val="nil"/>
              <w:left w:val="nil"/>
              <w:bottom w:val="single" w:color="000000" w:sz="8" w:space="0"/>
              <w:right w:val="single" w:color="000000" w:sz="8" w:space="0"/>
            </w:tcBorders>
            <w:shd w:val="clear" w:color="auto" w:fill="auto"/>
            <w:noWrap/>
            <w:vAlign w:val="center"/>
          </w:tcPr>
          <w:p w14:paraId="030784E6">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p>
        </w:tc>
        <w:tc>
          <w:tcPr>
            <w:tcW w:w="0" w:type="auto"/>
            <w:tcBorders>
              <w:top w:val="nil"/>
              <w:left w:val="nil"/>
              <w:bottom w:val="single" w:color="000000" w:sz="8" w:space="0"/>
              <w:right w:val="single" w:color="000000" w:sz="8" w:space="0"/>
            </w:tcBorders>
            <w:shd w:val="clear" w:color="auto" w:fill="auto"/>
            <w:noWrap/>
            <w:vAlign w:val="bottom"/>
          </w:tcPr>
          <w:p w14:paraId="0D999EA1">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15190.31</w:t>
            </w:r>
          </w:p>
        </w:tc>
        <w:tc>
          <w:tcPr>
            <w:tcW w:w="0" w:type="auto"/>
            <w:tcBorders>
              <w:top w:val="nil"/>
              <w:left w:val="nil"/>
              <w:bottom w:val="single" w:color="000000" w:sz="8" w:space="0"/>
              <w:right w:val="single" w:color="000000" w:sz="8" w:space="0"/>
            </w:tcBorders>
            <w:shd w:val="clear" w:color="auto" w:fill="auto"/>
            <w:noWrap/>
            <w:vAlign w:val="center"/>
          </w:tcPr>
          <w:p w14:paraId="0C19CCB6">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p>
        </w:tc>
        <w:tc>
          <w:tcPr>
            <w:tcW w:w="0" w:type="auto"/>
            <w:tcBorders>
              <w:top w:val="nil"/>
              <w:left w:val="nil"/>
              <w:bottom w:val="single" w:color="000000" w:sz="8" w:space="0"/>
              <w:right w:val="single" w:color="000000" w:sz="8" w:space="0"/>
            </w:tcBorders>
            <w:shd w:val="clear" w:color="auto" w:fill="auto"/>
            <w:noWrap/>
            <w:vAlign w:val="center"/>
          </w:tcPr>
          <w:p w14:paraId="1B24E275">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0</w:t>
            </w:r>
          </w:p>
        </w:tc>
        <w:tc>
          <w:tcPr>
            <w:tcW w:w="0" w:type="auto"/>
            <w:tcBorders>
              <w:top w:val="nil"/>
              <w:left w:val="nil"/>
              <w:bottom w:val="single" w:color="000000" w:sz="8" w:space="0"/>
              <w:right w:val="single" w:color="000000" w:sz="8" w:space="0"/>
            </w:tcBorders>
            <w:shd w:val="clear" w:color="auto" w:fill="auto"/>
            <w:noWrap/>
            <w:vAlign w:val="center"/>
          </w:tcPr>
          <w:p w14:paraId="2D09BE8A">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61.58%</w:t>
            </w:r>
          </w:p>
        </w:tc>
        <w:tc>
          <w:tcPr>
            <w:tcW w:w="0" w:type="auto"/>
            <w:tcBorders>
              <w:top w:val="nil"/>
              <w:left w:val="nil"/>
              <w:bottom w:val="single" w:color="000000" w:sz="8" w:space="0"/>
              <w:right w:val="single" w:color="000000" w:sz="8" w:space="0"/>
            </w:tcBorders>
            <w:shd w:val="clear" w:color="auto" w:fill="auto"/>
            <w:noWrap/>
            <w:vAlign w:val="center"/>
          </w:tcPr>
          <w:p w14:paraId="1913218D">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0</w:t>
            </w:r>
          </w:p>
        </w:tc>
        <w:tc>
          <w:tcPr>
            <w:tcW w:w="0" w:type="auto"/>
            <w:tcBorders>
              <w:top w:val="nil"/>
              <w:left w:val="nil"/>
              <w:bottom w:val="single" w:color="000000" w:sz="8" w:space="0"/>
              <w:right w:val="single" w:color="000000" w:sz="8" w:space="0"/>
            </w:tcBorders>
            <w:shd w:val="clear" w:color="auto" w:fill="auto"/>
            <w:noWrap/>
            <w:vAlign w:val="center"/>
          </w:tcPr>
          <w:p w14:paraId="398468D2">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p>
        </w:tc>
        <w:tc>
          <w:tcPr>
            <w:tcW w:w="0" w:type="auto"/>
            <w:tcBorders>
              <w:top w:val="nil"/>
              <w:left w:val="nil"/>
              <w:bottom w:val="single" w:color="000000" w:sz="8" w:space="0"/>
              <w:right w:val="single" w:color="000000" w:sz="8" w:space="0"/>
            </w:tcBorders>
            <w:shd w:val="clear" w:color="auto" w:fill="auto"/>
            <w:noWrap/>
            <w:vAlign w:val="bottom"/>
          </w:tcPr>
          <w:p w14:paraId="70F551D1">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29.82</w:t>
            </w:r>
          </w:p>
        </w:tc>
        <w:tc>
          <w:tcPr>
            <w:tcW w:w="0" w:type="auto"/>
            <w:tcBorders>
              <w:top w:val="nil"/>
              <w:left w:val="nil"/>
              <w:bottom w:val="single" w:color="000000" w:sz="8" w:space="0"/>
              <w:right w:val="single" w:color="000000" w:sz="8" w:space="0"/>
            </w:tcBorders>
            <w:shd w:val="clear" w:color="auto" w:fill="auto"/>
            <w:noWrap/>
            <w:vAlign w:val="bottom"/>
          </w:tcPr>
          <w:p w14:paraId="08BD80A4">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1261.4</w:t>
            </w:r>
          </w:p>
        </w:tc>
        <w:tc>
          <w:tcPr>
            <w:tcW w:w="0" w:type="auto"/>
            <w:tcBorders>
              <w:top w:val="nil"/>
              <w:left w:val="nil"/>
              <w:bottom w:val="single" w:color="000000" w:sz="8" w:space="0"/>
              <w:right w:val="single" w:color="000000" w:sz="8" w:space="0"/>
            </w:tcBorders>
            <w:shd w:val="clear" w:color="auto" w:fill="auto"/>
            <w:noWrap/>
            <w:vAlign w:val="center"/>
          </w:tcPr>
          <w:p w14:paraId="0CA7378A">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0.00%</w:t>
            </w:r>
          </w:p>
        </w:tc>
        <w:tc>
          <w:tcPr>
            <w:tcW w:w="0" w:type="auto"/>
            <w:tcBorders>
              <w:top w:val="nil"/>
              <w:left w:val="nil"/>
              <w:bottom w:val="single" w:color="000000" w:sz="8" w:space="0"/>
              <w:right w:val="single" w:color="000000" w:sz="8" w:space="0"/>
            </w:tcBorders>
            <w:shd w:val="clear" w:color="auto" w:fill="auto"/>
            <w:noWrap/>
            <w:vAlign w:val="bottom"/>
          </w:tcPr>
          <w:p w14:paraId="06C0E7B6">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1540.14</w:t>
            </w:r>
          </w:p>
        </w:tc>
      </w:tr>
      <w:tr w14:paraId="01756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305F5C53">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2022</w:t>
            </w:r>
          </w:p>
        </w:tc>
        <w:tc>
          <w:tcPr>
            <w:tcW w:w="0" w:type="auto"/>
            <w:tcBorders>
              <w:top w:val="nil"/>
              <w:left w:val="nil"/>
              <w:bottom w:val="single" w:color="000000" w:sz="8" w:space="0"/>
              <w:right w:val="single" w:color="000000" w:sz="8" w:space="0"/>
            </w:tcBorders>
            <w:shd w:val="clear" w:color="auto" w:fill="auto"/>
            <w:noWrap/>
            <w:vAlign w:val="bottom"/>
          </w:tcPr>
          <w:p w14:paraId="4719F091">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26718.39</w:t>
            </w:r>
          </w:p>
        </w:tc>
        <w:tc>
          <w:tcPr>
            <w:tcW w:w="0" w:type="auto"/>
            <w:tcBorders>
              <w:top w:val="nil"/>
              <w:left w:val="nil"/>
              <w:bottom w:val="single" w:color="000000" w:sz="8" w:space="0"/>
              <w:right w:val="single" w:color="000000" w:sz="8" w:space="0"/>
            </w:tcBorders>
            <w:shd w:val="clear" w:color="auto" w:fill="auto"/>
            <w:noWrap/>
            <w:vAlign w:val="center"/>
          </w:tcPr>
          <w:p w14:paraId="5561E498">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7.68%</w:t>
            </w:r>
          </w:p>
        </w:tc>
        <w:tc>
          <w:tcPr>
            <w:tcW w:w="0" w:type="auto"/>
            <w:tcBorders>
              <w:top w:val="nil"/>
              <w:left w:val="nil"/>
              <w:bottom w:val="single" w:color="000000" w:sz="8" w:space="0"/>
              <w:right w:val="single" w:color="000000" w:sz="8" w:space="0"/>
            </w:tcBorders>
            <w:shd w:val="clear" w:color="auto" w:fill="auto"/>
            <w:noWrap/>
            <w:vAlign w:val="bottom"/>
          </w:tcPr>
          <w:p w14:paraId="4F45EF7B">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17437.99</w:t>
            </w:r>
          </w:p>
        </w:tc>
        <w:tc>
          <w:tcPr>
            <w:tcW w:w="0" w:type="auto"/>
            <w:tcBorders>
              <w:top w:val="nil"/>
              <w:left w:val="nil"/>
              <w:bottom w:val="single" w:color="000000" w:sz="8" w:space="0"/>
              <w:right w:val="single" w:color="000000" w:sz="8" w:space="0"/>
            </w:tcBorders>
            <w:shd w:val="clear" w:color="auto" w:fill="auto"/>
            <w:noWrap/>
            <w:vAlign w:val="center"/>
          </w:tcPr>
          <w:p w14:paraId="41A53FBE">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12.89%</w:t>
            </w:r>
          </w:p>
        </w:tc>
        <w:tc>
          <w:tcPr>
            <w:tcW w:w="0" w:type="auto"/>
            <w:tcBorders>
              <w:top w:val="nil"/>
              <w:left w:val="nil"/>
              <w:bottom w:val="single" w:color="000000" w:sz="8" w:space="0"/>
              <w:right w:val="single" w:color="000000" w:sz="8" w:space="0"/>
            </w:tcBorders>
            <w:shd w:val="clear" w:color="auto" w:fill="auto"/>
            <w:noWrap/>
            <w:vAlign w:val="center"/>
          </w:tcPr>
          <w:p w14:paraId="181E25FB">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0</w:t>
            </w:r>
          </w:p>
        </w:tc>
        <w:tc>
          <w:tcPr>
            <w:tcW w:w="0" w:type="auto"/>
            <w:tcBorders>
              <w:top w:val="nil"/>
              <w:left w:val="nil"/>
              <w:bottom w:val="single" w:color="000000" w:sz="8" w:space="0"/>
              <w:right w:val="single" w:color="000000" w:sz="8" w:space="0"/>
            </w:tcBorders>
            <w:shd w:val="clear" w:color="auto" w:fill="auto"/>
            <w:noWrap/>
            <w:vAlign w:val="center"/>
          </w:tcPr>
          <w:p w14:paraId="17263DB0">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65.27%</w:t>
            </w:r>
          </w:p>
        </w:tc>
        <w:tc>
          <w:tcPr>
            <w:tcW w:w="0" w:type="auto"/>
            <w:tcBorders>
              <w:top w:val="nil"/>
              <w:left w:val="nil"/>
              <w:bottom w:val="single" w:color="000000" w:sz="8" w:space="0"/>
              <w:right w:val="single" w:color="000000" w:sz="8" w:space="0"/>
            </w:tcBorders>
            <w:shd w:val="clear" w:color="auto" w:fill="auto"/>
            <w:noWrap/>
            <w:vAlign w:val="center"/>
          </w:tcPr>
          <w:p w14:paraId="51D4B62D">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0</w:t>
            </w:r>
          </w:p>
        </w:tc>
        <w:tc>
          <w:tcPr>
            <w:tcW w:w="0" w:type="auto"/>
            <w:tcBorders>
              <w:top w:val="nil"/>
              <w:left w:val="nil"/>
              <w:bottom w:val="single" w:color="000000" w:sz="8" w:space="0"/>
              <w:right w:val="single" w:color="000000" w:sz="8" w:space="0"/>
            </w:tcBorders>
            <w:shd w:val="clear" w:color="auto" w:fill="auto"/>
            <w:noWrap/>
            <w:vAlign w:val="center"/>
          </w:tcPr>
          <w:p w14:paraId="1EF044C6">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0.00%</w:t>
            </w:r>
          </w:p>
        </w:tc>
        <w:tc>
          <w:tcPr>
            <w:tcW w:w="0" w:type="auto"/>
            <w:tcBorders>
              <w:top w:val="nil"/>
              <w:left w:val="nil"/>
              <w:bottom w:val="single" w:color="000000" w:sz="8" w:space="0"/>
              <w:right w:val="single" w:color="000000" w:sz="8" w:space="0"/>
            </w:tcBorders>
            <w:shd w:val="clear" w:color="auto" w:fill="auto"/>
            <w:noWrap/>
            <w:vAlign w:val="center"/>
          </w:tcPr>
          <w:p w14:paraId="403E88A8">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0</w:t>
            </w:r>
          </w:p>
        </w:tc>
        <w:tc>
          <w:tcPr>
            <w:tcW w:w="0" w:type="auto"/>
            <w:tcBorders>
              <w:top w:val="nil"/>
              <w:left w:val="nil"/>
              <w:bottom w:val="single" w:color="000000" w:sz="8" w:space="0"/>
              <w:right w:val="single" w:color="000000" w:sz="8" w:space="0"/>
            </w:tcBorders>
            <w:shd w:val="clear" w:color="auto" w:fill="auto"/>
            <w:noWrap/>
            <w:vAlign w:val="center"/>
          </w:tcPr>
          <w:p w14:paraId="6BFB0D92">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-131.09</w:t>
            </w:r>
          </w:p>
        </w:tc>
        <w:tc>
          <w:tcPr>
            <w:tcW w:w="0" w:type="auto"/>
            <w:tcBorders>
              <w:top w:val="nil"/>
              <w:left w:val="nil"/>
              <w:bottom w:val="single" w:color="000000" w:sz="8" w:space="0"/>
              <w:right w:val="single" w:color="000000" w:sz="8" w:space="0"/>
            </w:tcBorders>
            <w:shd w:val="clear" w:color="auto" w:fill="auto"/>
            <w:noWrap/>
            <w:vAlign w:val="center"/>
          </w:tcPr>
          <w:p w14:paraId="6C1BE5FC">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0.00%</w:t>
            </w:r>
          </w:p>
        </w:tc>
        <w:tc>
          <w:tcPr>
            <w:tcW w:w="0" w:type="auto"/>
            <w:tcBorders>
              <w:top w:val="nil"/>
              <w:left w:val="nil"/>
              <w:bottom w:val="single" w:color="000000" w:sz="8" w:space="0"/>
              <w:right w:val="single" w:color="000000" w:sz="8" w:space="0"/>
            </w:tcBorders>
            <w:shd w:val="clear" w:color="auto" w:fill="auto"/>
            <w:noWrap/>
            <w:vAlign w:val="bottom"/>
          </w:tcPr>
          <w:p w14:paraId="4D1CD082">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5453.14</w:t>
            </w:r>
          </w:p>
        </w:tc>
      </w:tr>
      <w:tr w14:paraId="1485D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0AAD44A4">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2023</w:t>
            </w:r>
          </w:p>
        </w:tc>
        <w:tc>
          <w:tcPr>
            <w:tcW w:w="0" w:type="auto"/>
            <w:tcBorders>
              <w:top w:val="nil"/>
              <w:left w:val="nil"/>
              <w:bottom w:val="single" w:color="000000" w:sz="8" w:space="0"/>
              <w:right w:val="single" w:color="000000" w:sz="8" w:space="0"/>
            </w:tcBorders>
            <w:shd w:val="clear" w:color="auto" w:fill="auto"/>
            <w:noWrap/>
            <w:vAlign w:val="bottom"/>
          </w:tcPr>
          <w:p w14:paraId="13A729FF">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23386.66</w:t>
            </w:r>
          </w:p>
        </w:tc>
        <w:tc>
          <w:tcPr>
            <w:tcW w:w="0" w:type="auto"/>
            <w:tcBorders>
              <w:top w:val="nil"/>
              <w:left w:val="nil"/>
              <w:bottom w:val="single" w:color="000000" w:sz="8" w:space="0"/>
              <w:right w:val="single" w:color="000000" w:sz="8" w:space="0"/>
            </w:tcBorders>
            <w:shd w:val="clear" w:color="auto" w:fill="auto"/>
            <w:noWrap/>
            <w:vAlign w:val="center"/>
          </w:tcPr>
          <w:p w14:paraId="28C03428">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-14.25%</w:t>
            </w:r>
          </w:p>
        </w:tc>
        <w:tc>
          <w:tcPr>
            <w:tcW w:w="0" w:type="auto"/>
            <w:tcBorders>
              <w:top w:val="nil"/>
              <w:left w:val="nil"/>
              <w:bottom w:val="single" w:color="000000" w:sz="8" w:space="0"/>
              <w:right w:val="single" w:color="000000" w:sz="8" w:space="0"/>
            </w:tcBorders>
            <w:shd w:val="clear" w:color="auto" w:fill="auto"/>
            <w:noWrap/>
            <w:vAlign w:val="bottom"/>
          </w:tcPr>
          <w:p w14:paraId="6FAF97FA">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13843.58</w:t>
            </w:r>
          </w:p>
        </w:tc>
        <w:tc>
          <w:tcPr>
            <w:tcW w:w="0" w:type="auto"/>
            <w:tcBorders>
              <w:top w:val="nil"/>
              <w:left w:val="nil"/>
              <w:bottom w:val="single" w:color="000000" w:sz="8" w:space="0"/>
              <w:right w:val="single" w:color="000000" w:sz="8" w:space="0"/>
            </w:tcBorders>
            <w:shd w:val="clear" w:color="auto" w:fill="auto"/>
            <w:noWrap/>
            <w:vAlign w:val="center"/>
          </w:tcPr>
          <w:p w14:paraId="386C2B59">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-25.96%</w:t>
            </w:r>
          </w:p>
        </w:tc>
        <w:tc>
          <w:tcPr>
            <w:tcW w:w="0" w:type="auto"/>
            <w:tcBorders>
              <w:top w:val="nil"/>
              <w:left w:val="nil"/>
              <w:bottom w:val="single" w:color="000000" w:sz="8" w:space="0"/>
              <w:right w:val="single" w:color="000000" w:sz="8" w:space="0"/>
            </w:tcBorders>
            <w:shd w:val="clear" w:color="auto" w:fill="auto"/>
            <w:noWrap/>
            <w:vAlign w:val="center"/>
          </w:tcPr>
          <w:p w14:paraId="45F6E908">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0</w:t>
            </w:r>
          </w:p>
        </w:tc>
        <w:tc>
          <w:tcPr>
            <w:tcW w:w="0" w:type="auto"/>
            <w:tcBorders>
              <w:top w:val="nil"/>
              <w:left w:val="nil"/>
              <w:bottom w:val="single" w:color="000000" w:sz="8" w:space="0"/>
              <w:right w:val="single" w:color="000000" w:sz="8" w:space="0"/>
            </w:tcBorders>
            <w:shd w:val="clear" w:color="auto" w:fill="auto"/>
            <w:noWrap/>
            <w:vAlign w:val="center"/>
          </w:tcPr>
          <w:p w14:paraId="6BDAEF6E">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59.19%</w:t>
            </w:r>
          </w:p>
        </w:tc>
        <w:tc>
          <w:tcPr>
            <w:tcW w:w="0" w:type="auto"/>
            <w:tcBorders>
              <w:top w:val="nil"/>
              <w:left w:val="nil"/>
              <w:bottom w:val="single" w:color="000000" w:sz="8" w:space="0"/>
              <w:right w:val="single" w:color="000000" w:sz="8" w:space="0"/>
            </w:tcBorders>
            <w:shd w:val="clear" w:color="auto" w:fill="auto"/>
            <w:noWrap/>
            <w:vAlign w:val="bottom"/>
          </w:tcPr>
          <w:p w14:paraId="52E7239D">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189.76</w:t>
            </w:r>
          </w:p>
        </w:tc>
        <w:tc>
          <w:tcPr>
            <w:tcW w:w="0" w:type="auto"/>
            <w:tcBorders>
              <w:top w:val="nil"/>
              <w:left w:val="nil"/>
              <w:bottom w:val="single" w:color="000000" w:sz="8" w:space="0"/>
              <w:right w:val="single" w:color="000000" w:sz="8" w:space="0"/>
            </w:tcBorders>
            <w:shd w:val="clear" w:color="auto" w:fill="auto"/>
            <w:noWrap/>
            <w:vAlign w:val="center"/>
          </w:tcPr>
          <w:p w14:paraId="381CA5E8">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100.00%</w:t>
            </w:r>
          </w:p>
        </w:tc>
        <w:tc>
          <w:tcPr>
            <w:tcW w:w="0" w:type="auto"/>
            <w:tcBorders>
              <w:top w:val="nil"/>
              <w:left w:val="nil"/>
              <w:bottom w:val="single" w:color="000000" w:sz="8" w:space="0"/>
              <w:right w:val="single" w:color="000000" w:sz="8" w:space="0"/>
            </w:tcBorders>
            <w:shd w:val="clear" w:color="auto" w:fill="auto"/>
            <w:noWrap/>
            <w:vAlign w:val="center"/>
          </w:tcPr>
          <w:p w14:paraId="1DB644EB">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0</w:t>
            </w:r>
          </w:p>
        </w:tc>
        <w:tc>
          <w:tcPr>
            <w:tcW w:w="0" w:type="auto"/>
            <w:tcBorders>
              <w:top w:val="nil"/>
              <w:left w:val="nil"/>
              <w:bottom w:val="single" w:color="000000" w:sz="8" w:space="0"/>
              <w:right w:val="single" w:color="000000" w:sz="8" w:space="0"/>
            </w:tcBorders>
            <w:shd w:val="clear" w:color="auto" w:fill="auto"/>
            <w:noWrap/>
            <w:vAlign w:val="center"/>
          </w:tcPr>
          <w:p w14:paraId="50A05A03">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-51.15</w:t>
            </w:r>
          </w:p>
        </w:tc>
        <w:tc>
          <w:tcPr>
            <w:tcW w:w="0" w:type="auto"/>
            <w:tcBorders>
              <w:top w:val="nil"/>
              <w:left w:val="nil"/>
              <w:bottom w:val="single" w:color="000000" w:sz="8" w:space="0"/>
              <w:right w:val="single" w:color="000000" w:sz="8" w:space="0"/>
            </w:tcBorders>
            <w:shd w:val="clear" w:color="auto" w:fill="auto"/>
            <w:noWrap/>
            <w:vAlign w:val="center"/>
          </w:tcPr>
          <w:p w14:paraId="77541156">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-26.96%</w:t>
            </w:r>
          </w:p>
        </w:tc>
        <w:tc>
          <w:tcPr>
            <w:tcW w:w="0" w:type="auto"/>
            <w:tcBorders>
              <w:top w:val="nil"/>
              <w:left w:val="nil"/>
              <w:bottom w:val="single" w:color="000000" w:sz="8" w:space="0"/>
              <w:right w:val="single" w:color="000000" w:sz="8" w:space="0"/>
            </w:tcBorders>
            <w:shd w:val="clear" w:color="auto" w:fill="auto"/>
            <w:noWrap/>
            <w:vAlign w:val="center"/>
          </w:tcPr>
          <w:p w14:paraId="4DD997D1">
            <w:pPr>
              <w:keepNext w:val="0"/>
              <w:keepLines w:val="0"/>
              <w:widowControl/>
              <w:suppressLineNumbers w:val="0"/>
              <w:jc w:val="center"/>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266.16</w:t>
            </w:r>
          </w:p>
        </w:tc>
      </w:tr>
    </w:tbl>
    <w:p w14:paraId="69FC2796">
      <w:pPr>
        <w:widowControl w:val="0"/>
        <w:spacing w:line="360" w:lineRule="auto"/>
        <w:jc w:val="both"/>
        <w:rPr>
          <w:rFonts w:ascii="仿宋" w:hAnsi="仿宋" w:eastAsia="仿宋"/>
          <w:color w:val="0070C0"/>
          <w:kern w:val="2"/>
          <w:sz w:val="21"/>
          <w:szCs w:val="21"/>
        </w:rPr>
      </w:pPr>
    </w:p>
    <w:p w14:paraId="1B99F006">
      <w:pPr>
        <w:widowControl w:val="0"/>
        <w:spacing w:line="360" w:lineRule="auto"/>
        <w:jc w:val="both"/>
        <w:rPr>
          <w:rFonts w:hint="eastAsia" w:ascii="仿宋" w:hAnsi="仿宋" w:eastAsia="仿宋"/>
          <w:color w:val="0070C0"/>
          <w:kern w:val="2"/>
          <w:sz w:val="21"/>
          <w:szCs w:val="21"/>
        </w:rPr>
        <w:sectPr>
          <w:pgSz w:w="16838" w:h="11906" w:orient="landscape"/>
          <w:pgMar w:top="1800" w:right="1440" w:bottom="1800" w:left="1440" w:header="851" w:footer="992" w:gutter="0"/>
          <w:cols w:space="720" w:num="1"/>
          <w:docGrid w:type="lines" w:linePitch="326" w:charSpace="0"/>
        </w:sectPr>
      </w:pPr>
      <w:r>
        <w:rPr>
          <w:rFonts w:ascii="仿宋" w:hAnsi="仿宋" w:eastAsia="仿宋"/>
          <w:color w:val="0070C0"/>
          <w:kern w:val="2"/>
          <w:sz w:val="21"/>
          <w:szCs w:val="21"/>
        </w:rPr>
        <w:tab/>
      </w:r>
    </w:p>
    <w:p w14:paraId="6CEC64C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FCAE2C"/>
    <w:multiLevelType w:val="singleLevel"/>
    <w:tmpl w:val="51FCAE2C"/>
    <w:lvl w:ilvl="0" w:tentative="0">
      <w:start w:val="3"/>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g3MTM5NjYwMDJlZGQxZjRhNzJlNWIzZmZhODUxMTgifQ=="/>
  </w:docVars>
  <w:rsids>
    <w:rsidRoot w:val="0002196E"/>
    <w:rsid w:val="0002196E"/>
    <w:rsid w:val="00971BC6"/>
    <w:rsid w:val="00BD7141"/>
    <w:rsid w:val="037800D1"/>
    <w:rsid w:val="0FA828C0"/>
    <w:rsid w:val="101055F2"/>
    <w:rsid w:val="15900A0D"/>
    <w:rsid w:val="15A0143E"/>
    <w:rsid w:val="177F5F91"/>
    <w:rsid w:val="1A030A7D"/>
    <w:rsid w:val="1ECC0E79"/>
    <w:rsid w:val="1F7304BB"/>
    <w:rsid w:val="236D6CC1"/>
    <w:rsid w:val="25BC7BF5"/>
    <w:rsid w:val="29DF3150"/>
    <w:rsid w:val="2AE411A4"/>
    <w:rsid w:val="2B9B22FF"/>
    <w:rsid w:val="2D856DC3"/>
    <w:rsid w:val="31E71DFA"/>
    <w:rsid w:val="34160775"/>
    <w:rsid w:val="344169F2"/>
    <w:rsid w:val="45C37DD0"/>
    <w:rsid w:val="46CF687D"/>
    <w:rsid w:val="5194203F"/>
    <w:rsid w:val="520364C3"/>
    <w:rsid w:val="531E0F9C"/>
    <w:rsid w:val="578372E0"/>
    <w:rsid w:val="64654C7D"/>
    <w:rsid w:val="66CB6C86"/>
    <w:rsid w:val="6EF73497"/>
    <w:rsid w:val="7556245D"/>
    <w:rsid w:val="7CD348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kern w:val="0"/>
      <w:sz w:val="24"/>
      <w:szCs w:val="24"/>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5916</Words>
  <Characters>7830</Characters>
  <Lines>42</Lines>
  <Paragraphs>11</Paragraphs>
  <TotalTime>10</TotalTime>
  <ScaleCrop>false</ScaleCrop>
  <LinksUpToDate>false</LinksUpToDate>
  <CharactersWithSpaces>7841</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2024-08-19T12:37:00Z</dcterms:created>
  <dc:creator>Gao Jason</dc:creator>
  <cp:lastModifiedBy>荷笠带斜阳</cp:lastModifiedBy>
  <dcterms:modified xsi:type="dcterms:W3CDTF">2024-08-20T08:02:18Z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0DDEAC5A2E954083BF1D7E0A1E3CB435_12</vt:lpwstr>
  </property>
</Properties>
</file>