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调账说明</w:t>
      </w:r>
    </w:p>
    <w:p>
      <w:pPr>
        <w:jc w:val="center"/>
        <w:rPr>
          <w:rFonts w:hint="eastAsia"/>
          <w:sz w:val="36"/>
          <w:szCs w:val="36"/>
          <w:lang w:val="en-US" w:eastAsia="zh-CN"/>
        </w:rPr>
      </w:pPr>
    </w:p>
    <w:p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因以前年度收款时直接确认收入及销项税，且前期已按照房产总额计提全额销项税10723元；实际应确认收入214477元，销项税10723 元，故本期将预收余额转入主营业务收入，无需计提销项税。</w:t>
      </w:r>
    </w:p>
    <w:p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ind w:firstLine="480" w:firstLineChars="200"/>
        <w:jc w:val="left"/>
      </w:pPr>
      <w:r>
        <w:rPr>
          <w:rFonts w:hint="eastAsia"/>
          <w:sz w:val="24"/>
          <w:szCs w:val="24"/>
          <w:lang w:val="en-US" w:eastAsia="zh-CN"/>
        </w:rPr>
        <w:t>以前年度入账如下：</w:t>
      </w:r>
      <w:r>
        <w:drawing>
          <wp:inline distT="0" distB="0" distL="114300" distR="114300">
            <wp:extent cx="5271135" cy="651510"/>
            <wp:effectExtent l="0" t="0" r="571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5269230" cy="695960"/>
            <wp:effectExtent l="0" t="0" r="762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5265420" cy="1087755"/>
            <wp:effectExtent l="0" t="0" r="1143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制单人：                                                          审核人：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5ZDdlMmFlZGE1YzJjNjRlN2Y3ZDUxYmM5NmRlZTEifQ=="/>
  </w:docVars>
  <w:rsids>
    <w:rsidRoot w:val="00000000"/>
    <w:rsid w:val="35EA0368"/>
    <w:rsid w:val="50D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2024-04-07T10:36:00Z</dcterms:created>
  <dc:creator>Administrator</dc:creator>
  <cp:lastModifiedBy>绿色军营</cp:lastModifiedBy>
  <cp:lastPrinted>2024-04-08T10:26:08Z</cp:lastPrinted>
  <dcterms:modified xsi:type="dcterms:W3CDTF">2024-04-08T10:26:13Z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13E6B59A4838496D967F987B68F6C645_12</vt:lpwstr>
  </property>
</Properties>
</file>