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332E6">
      <w:pPr>
        <w:spacing w:before="22"/>
        <w:jc w:val="center"/>
        <w:rPr>
          <w:b/>
          <w:sz w:val="48"/>
        </w:rPr>
      </w:pPr>
      <w:r>
        <w:rPr>
          <w:b/>
          <w:sz w:val="48"/>
        </w:rPr>
        <w:t>可行性研究报告服务协议</w:t>
      </w:r>
    </w:p>
    <w:p w14:paraId="0D47BBC2">
      <w:pPr>
        <w:pStyle w:val="3"/>
        <w:rPr>
          <w:b/>
          <w:sz w:val="27"/>
        </w:rPr>
      </w:pPr>
    </w:p>
    <w:tbl>
      <w:tblPr>
        <w:tblStyle w:val="6"/>
        <w:tblW w:w="0" w:type="auto"/>
        <w:tblInd w:w="1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5"/>
      </w:tblGrid>
      <w:tr w14:paraId="31962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475" w:type="dxa"/>
          </w:tcPr>
          <w:p w14:paraId="5267116B">
            <w:pPr>
              <w:pStyle w:val="10"/>
              <w:spacing w:line="20" w:lineRule="exact"/>
              <w:ind w:left="-5" w:right="-58"/>
              <w:rPr>
                <w:sz w:val="2"/>
              </w:rPr>
            </w:pPr>
            <w:r>
              <w:rPr>
                <w:sz w:val="2"/>
              </w:rPr>
              <w:drawing>
                <wp:inline distT="0" distB="0" distL="0" distR="0">
                  <wp:extent cx="5387340" cy="571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6" cstate="print"/>
                          <a:stretch>
                            <a:fillRect/>
                          </a:stretch>
                        </pic:blipFill>
                        <pic:spPr>
                          <a:xfrm>
                            <a:off x="0" y="0"/>
                            <a:ext cx="5387721" cy="6096"/>
                          </a:xfrm>
                          <a:prstGeom prst="rect">
                            <a:avLst/>
                          </a:prstGeom>
                        </pic:spPr>
                      </pic:pic>
                    </a:graphicData>
                  </a:graphic>
                </wp:inline>
              </w:drawing>
            </w:r>
          </w:p>
          <w:p w14:paraId="664C6E3C">
            <w:pPr>
              <w:pStyle w:val="10"/>
              <w:spacing w:before="108"/>
              <w:ind w:left="18"/>
              <w:rPr>
                <w:rFonts w:hint="eastAsia" w:eastAsia="新宋体"/>
                <w:b/>
                <w:sz w:val="21"/>
                <w:lang w:eastAsia="zh-CN"/>
              </w:rPr>
            </w:pPr>
            <w:r>
              <w:rPr>
                <w:b/>
                <w:sz w:val="21"/>
              </w:rPr>
              <w:t>甲方:</w:t>
            </w:r>
            <w:r>
              <w:rPr>
                <w:rFonts w:hint="eastAsia"/>
                <w:b/>
                <w:sz w:val="21"/>
                <w:lang w:eastAsia="zh-CN"/>
              </w:rPr>
              <w:t>新疆通力房地产开发有限公司库尔勒二分公司</w:t>
            </w:r>
          </w:p>
        </w:tc>
      </w:tr>
      <w:tr w14:paraId="19735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8475" w:type="dxa"/>
          </w:tcPr>
          <w:p w14:paraId="46C49273">
            <w:pPr>
              <w:pStyle w:val="10"/>
              <w:spacing w:before="105"/>
              <w:rPr>
                <w:sz w:val="21"/>
              </w:rPr>
            </w:pPr>
            <w:r>
              <w:rPr>
                <w:sz w:val="21"/>
              </w:rPr>
              <w:t>社会信用代码：</w:t>
            </w:r>
            <w:r>
              <w:rPr>
                <w:rFonts w:hint="eastAsia"/>
              </w:rPr>
              <w:t>91652801MA792NP510</w:t>
            </w:r>
          </w:p>
        </w:tc>
      </w:tr>
      <w:tr w14:paraId="283EF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8475" w:type="dxa"/>
          </w:tcPr>
          <w:p w14:paraId="0C4DC97B">
            <w:pPr>
              <w:pStyle w:val="10"/>
              <w:spacing w:before="114"/>
              <w:rPr>
                <w:rFonts w:hint="default" w:eastAsia="新宋体"/>
                <w:sz w:val="21"/>
                <w:lang w:val="en-US" w:eastAsia="zh-CN"/>
              </w:rPr>
            </w:pPr>
            <w:r>
              <w:rPr>
                <w:sz w:val="21"/>
              </w:rPr>
              <w:t>项目联系人：</w:t>
            </w:r>
            <w:r>
              <w:rPr>
                <w:rFonts w:hint="eastAsia"/>
                <w:sz w:val="21"/>
                <w:lang w:val="en-US" w:eastAsia="zh-CN"/>
              </w:rPr>
              <w:t>欧振华</w:t>
            </w:r>
          </w:p>
        </w:tc>
      </w:tr>
      <w:tr w14:paraId="18D08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8475" w:type="dxa"/>
          </w:tcPr>
          <w:p w14:paraId="3E5F283D">
            <w:pPr>
              <w:pStyle w:val="10"/>
              <w:spacing w:before="115"/>
              <w:rPr>
                <w:rFonts w:hint="default" w:eastAsia="新宋体"/>
                <w:sz w:val="21"/>
                <w:lang w:val="en-US" w:eastAsia="zh-CN"/>
              </w:rPr>
            </w:pPr>
            <w:r>
              <w:rPr>
                <w:sz w:val="21"/>
              </w:rPr>
              <w:t>联系电话：</w:t>
            </w:r>
            <w:r>
              <w:rPr>
                <w:rFonts w:hint="eastAsia"/>
                <w:sz w:val="21"/>
                <w:lang w:val="en-US" w:eastAsia="zh-CN"/>
              </w:rPr>
              <w:t>18195941682（微信同号）</w:t>
            </w:r>
          </w:p>
        </w:tc>
      </w:tr>
      <w:tr w14:paraId="5688D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8475" w:type="dxa"/>
          </w:tcPr>
          <w:p w14:paraId="0C51957E">
            <w:pPr>
              <w:pStyle w:val="10"/>
              <w:spacing w:before="115"/>
              <w:rPr>
                <w:rFonts w:hint="default" w:eastAsia="新宋体"/>
                <w:sz w:val="21"/>
                <w:lang w:val="en-US" w:eastAsia="zh-CN"/>
              </w:rPr>
            </w:pPr>
            <w:r>
              <w:rPr>
                <w:rFonts w:hint="eastAsia"/>
                <w:sz w:val="21"/>
                <w:lang w:val="en-US" w:eastAsia="zh-CN"/>
              </w:rPr>
              <w:t>邮箱:1280837208@qq.com</w:t>
            </w:r>
          </w:p>
        </w:tc>
      </w:tr>
    </w:tbl>
    <w:p w14:paraId="74117D92">
      <w:pPr>
        <w:pStyle w:val="3"/>
        <w:rPr>
          <w:b/>
          <w:sz w:val="20"/>
        </w:rPr>
      </w:pPr>
    </w:p>
    <w:p w14:paraId="1334B3C5">
      <w:pPr>
        <w:pStyle w:val="3"/>
        <w:spacing w:before="6"/>
        <w:rPr>
          <w:b/>
          <w:sz w:val="10"/>
        </w:rPr>
      </w:pPr>
    </w:p>
    <w:tbl>
      <w:tblPr>
        <w:tblStyle w:val="6"/>
        <w:tblW w:w="0" w:type="auto"/>
        <w:tblInd w:w="1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5"/>
      </w:tblGrid>
      <w:tr w14:paraId="29956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475" w:type="dxa"/>
          </w:tcPr>
          <w:p w14:paraId="7F3FFEEC">
            <w:pPr>
              <w:pStyle w:val="10"/>
              <w:spacing w:before="84"/>
              <w:ind w:left="75"/>
              <w:rPr>
                <w:rFonts w:hint="eastAsia" w:eastAsia="新宋体"/>
                <w:b/>
                <w:sz w:val="21"/>
                <w:lang w:eastAsia="zh-CN"/>
              </w:rPr>
            </w:pPr>
            <w:r>
              <w:rPr>
                <w:b/>
                <w:sz w:val="21"/>
              </w:rPr>
              <w:t>乙方：</w:t>
            </w:r>
            <w:r>
              <w:rPr>
                <w:rFonts w:hint="eastAsia"/>
                <w:b/>
                <w:sz w:val="21"/>
                <w:lang w:eastAsia="zh-CN"/>
              </w:rPr>
              <w:t>中盎工程设计咨询有限公司天津滨海分公司</w:t>
            </w:r>
          </w:p>
        </w:tc>
      </w:tr>
      <w:tr w14:paraId="63F08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8475" w:type="dxa"/>
          </w:tcPr>
          <w:p w14:paraId="0B132312">
            <w:pPr>
              <w:pStyle w:val="10"/>
              <w:spacing w:before="66"/>
              <w:rPr>
                <w:sz w:val="21"/>
              </w:rPr>
            </w:pPr>
            <w:r>
              <w:rPr>
                <w:sz w:val="21"/>
              </w:rPr>
              <w:t>统一社会信用代码：</w:t>
            </w:r>
            <w:r>
              <w:rPr>
                <w:rFonts w:hint="eastAsia"/>
                <w:sz w:val="21"/>
              </w:rPr>
              <w:t>91120116MA82B3669N</w:t>
            </w:r>
          </w:p>
        </w:tc>
      </w:tr>
      <w:tr w14:paraId="48CB1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8475" w:type="dxa"/>
          </w:tcPr>
          <w:p w14:paraId="03EE2FF6">
            <w:pPr>
              <w:pStyle w:val="10"/>
              <w:spacing w:before="80"/>
              <w:rPr>
                <w:rFonts w:hint="default" w:eastAsia="新宋体"/>
                <w:sz w:val="21"/>
                <w:lang w:val="en-US" w:eastAsia="zh-CN"/>
              </w:rPr>
            </w:pPr>
            <w:r>
              <w:rPr>
                <w:sz w:val="21"/>
              </w:rPr>
              <w:t>项目联系人：</w:t>
            </w:r>
            <w:r>
              <w:rPr>
                <w:rFonts w:hint="eastAsia"/>
                <w:sz w:val="21"/>
                <w:lang w:val="en-US" w:eastAsia="zh-CN"/>
              </w:rPr>
              <w:t>侯仰杰</w:t>
            </w:r>
          </w:p>
        </w:tc>
      </w:tr>
      <w:tr w14:paraId="747ED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8475" w:type="dxa"/>
          </w:tcPr>
          <w:p w14:paraId="282ACF11">
            <w:pPr>
              <w:pStyle w:val="10"/>
              <w:spacing w:before="79"/>
              <w:rPr>
                <w:rFonts w:hint="default" w:eastAsia="新宋体"/>
                <w:sz w:val="21"/>
                <w:lang w:val="en-US" w:eastAsia="zh-CN"/>
              </w:rPr>
            </w:pPr>
            <w:r>
              <w:rPr>
                <w:sz w:val="21"/>
              </w:rPr>
              <w:t>联系电话：</w:t>
            </w:r>
            <w:r>
              <w:rPr>
                <w:rFonts w:hint="eastAsia"/>
                <w:sz w:val="21"/>
                <w:lang w:val="en-US" w:eastAsia="zh-CN"/>
              </w:rPr>
              <w:t>18199120066  18690231921（微信号）</w:t>
            </w:r>
          </w:p>
        </w:tc>
      </w:tr>
      <w:tr w14:paraId="485A4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8475" w:type="dxa"/>
          </w:tcPr>
          <w:p w14:paraId="5855AEA5">
            <w:pPr>
              <w:pStyle w:val="10"/>
              <w:spacing w:before="79"/>
              <w:rPr>
                <w:rFonts w:hint="default" w:eastAsia="新宋体"/>
                <w:sz w:val="21"/>
                <w:lang w:val="en-US" w:eastAsia="zh-CN"/>
              </w:rPr>
            </w:pPr>
            <w:r>
              <w:rPr>
                <w:rFonts w:hint="eastAsia"/>
                <w:sz w:val="21"/>
                <w:lang w:val="en-US" w:eastAsia="zh-CN"/>
              </w:rPr>
              <w:t>邮箱：65674620@qq.com</w:t>
            </w:r>
          </w:p>
        </w:tc>
      </w:tr>
    </w:tbl>
    <w:p w14:paraId="4E12EDA5">
      <w:pPr>
        <w:pStyle w:val="3"/>
        <w:spacing w:before="6"/>
        <w:rPr>
          <w:b/>
          <w:sz w:val="28"/>
        </w:rPr>
      </w:pPr>
    </w:p>
    <w:p w14:paraId="035C10FD">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sz w:val="21"/>
        </w:rPr>
      </w:pPr>
      <w:r>
        <w:rPr>
          <w:spacing w:val="0"/>
          <w:w w:val="100"/>
          <w:kern w:val="2"/>
          <w:sz w:val="21"/>
        </w:rPr>
        <w:t>第一条：宗旨</w:t>
      </w:r>
    </w:p>
    <w:p w14:paraId="34EB73C6">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sz w:val="21"/>
        </w:rPr>
      </w:pPr>
      <w:r>
        <w:rPr>
          <w:spacing w:val="0"/>
          <w:w w:val="100"/>
          <w:kern w:val="2"/>
          <w:sz w:val="21"/>
        </w:rPr>
        <w:t>甲乙双方本着互利有偿，诚实信用的原则，经平等协商，就乙方向甲方有偿提供可行性研究报告代写服务事宜，共同订立本协议如下：</w:t>
      </w:r>
    </w:p>
    <w:p w14:paraId="43A56FF0">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sz w:val="21"/>
        </w:rPr>
      </w:pPr>
      <w:r>
        <w:rPr>
          <w:spacing w:val="0"/>
          <w:w w:val="100"/>
          <w:kern w:val="2"/>
          <w:sz w:val="21"/>
        </w:rPr>
        <w:t>第二条：服务内容</w:t>
      </w:r>
    </w:p>
    <w:p w14:paraId="6C806EA0">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eastAsia="新宋体"/>
          <w:spacing w:val="0"/>
          <w:w w:val="100"/>
          <w:kern w:val="2"/>
          <w:sz w:val="21"/>
          <w:lang w:eastAsia="zh-CN"/>
        </w:rPr>
      </w:pPr>
      <w:r>
        <w:rPr>
          <w:spacing w:val="0"/>
          <w:w w:val="100"/>
          <w:kern w:val="2"/>
          <w:sz w:val="21"/>
        </w:rPr>
        <w:t>可行性研究报告代写服务（以下简称“服务”），是指：甲方委托乙方代为撰写可行性研究报告</w:t>
      </w:r>
      <w:r>
        <w:rPr>
          <w:rFonts w:hint="eastAsia"/>
          <w:spacing w:val="0"/>
          <w:w w:val="100"/>
          <w:kern w:val="2"/>
          <w:sz w:val="21"/>
        </w:rPr>
        <w:t>，</w:t>
      </w:r>
      <w:r>
        <w:rPr>
          <w:spacing w:val="0"/>
          <w:w w:val="100"/>
          <w:kern w:val="2"/>
          <w:sz w:val="21"/>
        </w:rPr>
        <w:t>乙方根据甲方提供的信息、数据、文本、图片等资料进行整理、提炼，根据甲方的具体要求来完善和优化编写可行性研究报告。可行性研究报告撰写不包含制图（鸟瞰图、总平图、布置图、效果图</w:t>
      </w:r>
      <w:r>
        <w:rPr>
          <w:rFonts w:hint="eastAsia"/>
          <w:spacing w:val="0"/>
          <w:w w:val="100"/>
          <w:kern w:val="2"/>
          <w:sz w:val="21"/>
          <w:lang w:eastAsia="zh-CN"/>
        </w:rPr>
        <w:t>、施工图</w:t>
      </w:r>
      <w:r>
        <w:rPr>
          <w:spacing w:val="0"/>
          <w:w w:val="100"/>
          <w:kern w:val="2"/>
          <w:sz w:val="21"/>
        </w:rPr>
        <w:t>等）</w:t>
      </w:r>
      <w:r>
        <w:rPr>
          <w:rFonts w:hint="eastAsia"/>
          <w:spacing w:val="0"/>
          <w:w w:val="100"/>
          <w:kern w:val="2"/>
          <w:sz w:val="21"/>
          <w:lang w:eastAsia="zh-CN"/>
        </w:rPr>
        <w:t>。</w:t>
      </w:r>
    </w:p>
    <w:tbl>
      <w:tblPr>
        <w:tblStyle w:val="6"/>
        <w:tblW w:w="0" w:type="auto"/>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25"/>
        <w:gridCol w:w="5800"/>
      </w:tblGrid>
      <w:tr w14:paraId="32D29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2825" w:type="dxa"/>
          </w:tcPr>
          <w:p w14:paraId="3A2E145E">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ascii="宋体" w:eastAsia="宋体"/>
                <w:spacing w:val="0"/>
                <w:w w:val="100"/>
                <w:kern w:val="2"/>
                <w:sz w:val="20"/>
              </w:rPr>
            </w:pPr>
            <w:r>
              <w:rPr>
                <w:rFonts w:hint="eastAsia" w:ascii="宋体" w:eastAsia="宋体"/>
                <w:spacing w:val="0"/>
                <w:w w:val="100"/>
                <w:kern w:val="2"/>
                <w:sz w:val="20"/>
              </w:rPr>
              <w:t>甲方项目名称：</w:t>
            </w:r>
          </w:p>
        </w:tc>
        <w:tc>
          <w:tcPr>
            <w:tcW w:w="5800" w:type="dxa"/>
          </w:tcPr>
          <w:p w14:paraId="72C2E805">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eastAsia="新宋体"/>
                <w:spacing w:val="0"/>
                <w:w w:val="100"/>
                <w:kern w:val="2"/>
                <w:sz w:val="21"/>
                <w:lang w:val="en-US" w:eastAsia="zh-CN"/>
              </w:rPr>
            </w:pPr>
            <w:r>
              <w:rPr>
                <w:rFonts w:hint="eastAsia"/>
                <w:b w:val="0"/>
                <w:bCs w:val="0"/>
                <w:spacing w:val="0"/>
                <w:w w:val="100"/>
                <w:kern w:val="2"/>
                <w:sz w:val="21"/>
                <w:lang w:eastAsia="zh-CN"/>
              </w:rPr>
              <w:t>新疆通力房地产开发有限公司库尔勒二分公司画堂春锦苑建设项目</w:t>
            </w:r>
          </w:p>
        </w:tc>
      </w:tr>
      <w:tr w14:paraId="1E66A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2825" w:type="dxa"/>
          </w:tcPr>
          <w:p w14:paraId="679D1727">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ascii="宋体" w:eastAsia="宋体"/>
                <w:spacing w:val="0"/>
                <w:w w:val="100"/>
                <w:kern w:val="2"/>
                <w:sz w:val="20"/>
              </w:rPr>
            </w:pPr>
            <w:r>
              <w:rPr>
                <w:rFonts w:hint="eastAsia" w:ascii="宋体" w:eastAsia="宋体"/>
                <w:spacing w:val="0"/>
                <w:w w:val="100"/>
                <w:kern w:val="2"/>
                <w:sz w:val="20"/>
              </w:rPr>
              <w:t>服务内容：</w:t>
            </w:r>
          </w:p>
        </w:tc>
        <w:tc>
          <w:tcPr>
            <w:tcW w:w="5800" w:type="dxa"/>
          </w:tcPr>
          <w:p w14:paraId="0EA859A0">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宋体" w:eastAsia="宋体"/>
                <w:spacing w:val="0"/>
                <w:w w:val="100"/>
                <w:kern w:val="2"/>
                <w:sz w:val="20"/>
                <w:lang w:val="en-US" w:eastAsia="zh-CN"/>
              </w:rPr>
            </w:pPr>
            <w:r>
              <w:rPr>
                <w:rFonts w:hint="eastAsia" w:ascii="宋体" w:eastAsia="宋体"/>
                <w:spacing w:val="0"/>
                <w:w w:val="100"/>
                <w:kern w:val="2"/>
                <w:sz w:val="20"/>
                <w:lang w:val="en-US" w:eastAsia="zh-CN"/>
              </w:rPr>
              <w:t>可行性研究报告一份</w:t>
            </w:r>
          </w:p>
        </w:tc>
      </w:tr>
      <w:tr w14:paraId="11984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2825" w:type="dxa"/>
          </w:tcPr>
          <w:p w14:paraId="382B3AE2">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ascii="宋体" w:eastAsia="宋体"/>
                <w:spacing w:val="0"/>
                <w:w w:val="100"/>
                <w:kern w:val="2"/>
                <w:sz w:val="20"/>
              </w:rPr>
            </w:pPr>
            <w:r>
              <w:rPr>
                <w:rFonts w:hint="eastAsia" w:ascii="宋体" w:eastAsia="宋体"/>
                <w:spacing w:val="0"/>
                <w:w w:val="100"/>
                <w:kern w:val="2"/>
                <w:sz w:val="20"/>
              </w:rPr>
              <w:t>约定初稿交付时间</w:t>
            </w:r>
          </w:p>
        </w:tc>
        <w:tc>
          <w:tcPr>
            <w:tcW w:w="5800" w:type="dxa"/>
          </w:tcPr>
          <w:p w14:paraId="7A45D3ED">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宋体" w:eastAsia="宋体"/>
                <w:spacing w:val="0"/>
                <w:w w:val="100"/>
                <w:kern w:val="2"/>
                <w:sz w:val="20"/>
                <w:lang w:val="en-US" w:eastAsia="zh-CN"/>
              </w:rPr>
            </w:pPr>
            <w:r>
              <w:rPr>
                <w:rFonts w:hint="eastAsia" w:ascii="宋体" w:eastAsia="宋体"/>
                <w:color w:val="auto"/>
                <w:spacing w:val="0"/>
                <w:w w:val="100"/>
                <w:kern w:val="2"/>
                <w:sz w:val="20"/>
                <w:lang w:val="en-US" w:eastAsia="zh-CN"/>
              </w:rPr>
              <w:t>支付首付款后</w:t>
            </w:r>
            <w:r>
              <w:rPr>
                <w:rFonts w:hint="eastAsia" w:ascii="宋体" w:eastAsia="宋体"/>
                <w:spacing w:val="0"/>
                <w:w w:val="100"/>
                <w:kern w:val="2"/>
                <w:sz w:val="20"/>
                <w:lang w:val="en-US" w:eastAsia="zh-CN"/>
              </w:rPr>
              <w:t>10个日历日</w:t>
            </w:r>
          </w:p>
        </w:tc>
      </w:tr>
      <w:tr w14:paraId="17F1B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825" w:type="dxa"/>
          </w:tcPr>
          <w:p w14:paraId="690423D3">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ascii="宋体" w:eastAsia="宋体"/>
                <w:spacing w:val="0"/>
                <w:w w:val="100"/>
                <w:kern w:val="2"/>
                <w:sz w:val="20"/>
              </w:rPr>
            </w:pPr>
            <w:r>
              <w:rPr>
                <w:rFonts w:hint="eastAsia" w:ascii="宋体" w:eastAsia="宋体"/>
                <w:spacing w:val="0"/>
                <w:w w:val="100"/>
                <w:kern w:val="2"/>
                <w:sz w:val="20"/>
              </w:rPr>
              <w:t>服务费（小写）：</w:t>
            </w:r>
          </w:p>
        </w:tc>
        <w:tc>
          <w:tcPr>
            <w:tcW w:w="5800" w:type="dxa"/>
          </w:tcPr>
          <w:p w14:paraId="35429D25">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宋体" w:eastAsia="宋体"/>
                <w:spacing w:val="0"/>
                <w:w w:val="100"/>
                <w:kern w:val="2"/>
                <w:sz w:val="20"/>
                <w:lang w:val="en-US" w:eastAsia="zh-CN"/>
              </w:rPr>
            </w:pPr>
            <w:r>
              <w:rPr>
                <w:rFonts w:hint="eastAsia" w:ascii="宋体" w:eastAsia="宋体"/>
                <w:spacing w:val="0"/>
                <w:w w:val="100"/>
                <w:kern w:val="2"/>
                <w:sz w:val="20"/>
              </w:rPr>
              <w:t>￥</w:t>
            </w:r>
            <w:r>
              <w:rPr>
                <w:rFonts w:hint="eastAsia" w:ascii="宋体" w:eastAsia="宋体"/>
                <w:spacing w:val="0"/>
                <w:w w:val="100"/>
                <w:kern w:val="2"/>
                <w:sz w:val="20"/>
                <w:lang w:eastAsia="zh-CN"/>
              </w:rPr>
              <w:t>45000</w:t>
            </w:r>
            <w:r>
              <w:rPr>
                <w:rFonts w:hint="eastAsia" w:ascii="宋体" w:eastAsia="宋体"/>
                <w:spacing w:val="0"/>
                <w:w w:val="100"/>
                <w:kern w:val="2"/>
                <w:sz w:val="20"/>
                <w:lang w:val="en-US" w:eastAsia="zh-CN"/>
              </w:rPr>
              <w:t>.00</w:t>
            </w:r>
          </w:p>
        </w:tc>
      </w:tr>
      <w:tr w14:paraId="730B4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825" w:type="dxa"/>
          </w:tcPr>
          <w:p w14:paraId="793FEA14">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ascii="宋体" w:eastAsia="宋体"/>
                <w:spacing w:val="0"/>
                <w:w w:val="100"/>
                <w:kern w:val="2"/>
                <w:sz w:val="20"/>
              </w:rPr>
            </w:pPr>
            <w:r>
              <w:rPr>
                <w:rFonts w:hint="eastAsia" w:ascii="宋体" w:eastAsia="宋体"/>
                <w:spacing w:val="0"/>
                <w:w w:val="100"/>
                <w:kern w:val="2"/>
                <w:sz w:val="20"/>
              </w:rPr>
              <w:t>服务费（大写）：</w:t>
            </w:r>
          </w:p>
        </w:tc>
        <w:tc>
          <w:tcPr>
            <w:tcW w:w="5800" w:type="dxa"/>
          </w:tcPr>
          <w:p w14:paraId="5A1A0B3C">
            <w:pPr>
              <w:pStyle w:val="10"/>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宋体" w:eastAsia="宋体"/>
                <w:spacing w:val="0"/>
                <w:w w:val="100"/>
                <w:kern w:val="2"/>
                <w:sz w:val="20"/>
                <w:lang w:val="en-US" w:eastAsia="zh-CN"/>
              </w:rPr>
            </w:pPr>
            <w:r>
              <w:rPr>
                <w:rFonts w:hint="eastAsia" w:ascii="宋体" w:eastAsia="宋体"/>
                <w:spacing w:val="0"/>
                <w:w w:val="100"/>
                <w:kern w:val="2"/>
                <w:sz w:val="20"/>
                <w:lang w:val="en-US" w:eastAsia="zh-CN"/>
              </w:rPr>
              <w:t>人民币肆万伍仟元整</w:t>
            </w:r>
          </w:p>
        </w:tc>
      </w:tr>
    </w:tbl>
    <w:p w14:paraId="7A3611A9">
      <w:pPr>
        <w:pStyle w:val="9"/>
        <w:keepNext w:val="0"/>
        <w:keepLines w:val="0"/>
        <w:pageBreakBefore w:val="0"/>
        <w:widowControl w:val="0"/>
        <w:numPr>
          <w:ilvl w:val="0"/>
          <w:numId w:val="1"/>
        </w:numPr>
        <w:tabs>
          <w:tab w:val="left" w:pos="659"/>
          <w:tab w:val="left" w:pos="660"/>
        </w:tabs>
        <w:kinsoku/>
        <w:wordWrap w:val="0"/>
        <w:overflowPunct/>
        <w:topLinePunct w:val="0"/>
        <w:autoSpaceDE/>
        <w:autoSpaceDN/>
        <w:bidi w:val="0"/>
        <w:adjustRightInd/>
        <w:snapToGrid/>
        <w:spacing w:before="0" w:line="360" w:lineRule="auto"/>
        <w:ind w:left="0" w:leftChars="0" w:right="0" w:firstLine="420" w:firstLineChars="200"/>
        <w:jc w:val="both"/>
        <w:textAlignment w:val="auto"/>
        <w:rPr>
          <w:spacing w:val="0"/>
          <w:w w:val="100"/>
          <w:kern w:val="2"/>
          <w:sz w:val="21"/>
        </w:rPr>
      </w:pPr>
      <w:r>
        <w:rPr>
          <w:spacing w:val="0"/>
          <w:w w:val="100"/>
          <w:kern w:val="2"/>
          <w:sz w:val="21"/>
        </w:rPr>
        <w:t>可行性研究报告：成品文件格式为</w:t>
      </w:r>
      <w:r>
        <w:rPr>
          <w:rFonts w:hint="eastAsia"/>
          <w:spacing w:val="0"/>
          <w:w w:val="100"/>
          <w:kern w:val="2"/>
          <w:sz w:val="21"/>
          <w:lang w:val="en-US" w:eastAsia="zh-CN"/>
        </w:rPr>
        <w:t xml:space="preserve"> docx 文件，页面尺寸：21cm*29.7cm（A4 尺寸）</w:t>
      </w:r>
    </w:p>
    <w:p w14:paraId="7096745E">
      <w:pPr>
        <w:pStyle w:val="9"/>
        <w:keepNext w:val="0"/>
        <w:keepLines w:val="0"/>
        <w:pageBreakBefore w:val="0"/>
        <w:widowControl w:val="0"/>
        <w:numPr>
          <w:ilvl w:val="0"/>
          <w:numId w:val="1"/>
        </w:numPr>
        <w:tabs>
          <w:tab w:val="left" w:pos="659"/>
          <w:tab w:val="left" w:pos="660"/>
        </w:tabs>
        <w:kinsoku/>
        <w:wordWrap w:val="0"/>
        <w:overflowPunct/>
        <w:topLinePunct w:val="0"/>
        <w:autoSpaceDE/>
        <w:autoSpaceDN/>
        <w:bidi w:val="0"/>
        <w:adjustRightInd/>
        <w:snapToGrid/>
        <w:spacing w:before="0" w:line="360" w:lineRule="auto"/>
        <w:ind w:left="0" w:leftChars="0" w:right="0" w:firstLine="420" w:firstLineChars="200"/>
        <w:jc w:val="both"/>
        <w:textAlignment w:val="auto"/>
        <w:rPr>
          <w:spacing w:val="0"/>
          <w:w w:val="100"/>
          <w:kern w:val="2"/>
          <w:sz w:val="21"/>
        </w:rPr>
      </w:pPr>
      <w:r>
        <w:rPr>
          <w:rFonts w:hint="eastAsia"/>
          <w:spacing w:val="0"/>
          <w:w w:val="100"/>
          <w:kern w:val="2"/>
          <w:sz w:val="21"/>
        </w:rPr>
        <w:t>约定初稿交付时间及方式：乙方承诺在约定时间内提供初稿给甲方审核，以视频录屏方式将稿件提供给乙方阅览。若在约定的时间内，由于乙方原因，未能提供初稿预览的，甲方根据情况要求乙方进行部分或全部退返服务费用。</w:t>
      </w:r>
      <w:bookmarkStart w:id="0" w:name="_GoBack"/>
      <w:bookmarkEnd w:id="0"/>
    </w:p>
    <w:p w14:paraId="719F7F06">
      <w:pPr>
        <w:pStyle w:val="9"/>
        <w:keepNext w:val="0"/>
        <w:keepLines w:val="0"/>
        <w:pageBreakBefore w:val="0"/>
        <w:widowControl w:val="0"/>
        <w:numPr>
          <w:ilvl w:val="0"/>
          <w:numId w:val="0"/>
        </w:numPr>
        <w:tabs>
          <w:tab w:val="left" w:pos="659"/>
          <w:tab w:val="left" w:pos="660"/>
        </w:tabs>
        <w:kinsoku/>
        <w:wordWrap w:val="0"/>
        <w:overflowPunct/>
        <w:topLinePunct w:val="0"/>
        <w:autoSpaceDE/>
        <w:autoSpaceDN/>
        <w:bidi w:val="0"/>
        <w:adjustRightInd/>
        <w:snapToGrid/>
        <w:spacing w:before="0" w:line="360" w:lineRule="auto"/>
        <w:ind w:left="0" w:leftChars="0" w:right="0" w:rightChars="0" w:firstLine="420" w:firstLineChars="200"/>
        <w:jc w:val="both"/>
        <w:textAlignment w:val="auto"/>
        <w:rPr>
          <w:rFonts w:hint="eastAsia"/>
          <w:spacing w:val="0"/>
          <w:w w:val="100"/>
          <w:kern w:val="2"/>
          <w:sz w:val="21"/>
        </w:rPr>
      </w:pPr>
      <w:r>
        <w:rPr>
          <w:rFonts w:hint="eastAsia"/>
          <w:spacing w:val="0"/>
          <w:w w:val="100"/>
          <w:kern w:val="2"/>
          <w:sz w:val="21"/>
        </w:rPr>
        <w:t>服务费用：甲方需要在乙方服务开始之前，向乙方支付服务费定金。上述费用不含盖超出“服务”范围的费用，包括且不限于：超出“服务”范围的额外服务、超出协议约定的文件篇幅、超出协议约定的售后服务范围。</w:t>
      </w:r>
    </w:p>
    <w:p w14:paraId="0A8DEB10">
      <w:pPr>
        <w:pStyle w:val="9"/>
        <w:keepNext w:val="0"/>
        <w:keepLines w:val="0"/>
        <w:pageBreakBefore w:val="0"/>
        <w:widowControl w:val="0"/>
        <w:numPr>
          <w:ilvl w:val="0"/>
          <w:numId w:val="0"/>
        </w:numPr>
        <w:tabs>
          <w:tab w:val="left" w:pos="659"/>
          <w:tab w:val="left" w:pos="660"/>
        </w:tabs>
        <w:kinsoku/>
        <w:wordWrap w:val="0"/>
        <w:overflowPunct/>
        <w:topLinePunct w:val="0"/>
        <w:autoSpaceDE/>
        <w:autoSpaceDN/>
        <w:bidi w:val="0"/>
        <w:adjustRightInd/>
        <w:snapToGrid/>
        <w:spacing w:before="0" w:line="360" w:lineRule="auto"/>
        <w:ind w:left="0" w:leftChars="0" w:right="0" w:rightChars="0" w:firstLine="420" w:firstLineChars="200"/>
        <w:jc w:val="both"/>
        <w:textAlignment w:val="auto"/>
        <w:rPr>
          <w:rFonts w:hint="eastAsia"/>
          <w:spacing w:val="0"/>
          <w:w w:val="100"/>
          <w:kern w:val="2"/>
          <w:sz w:val="21"/>
        </w:rPr>
      </w:pPr>
      <w:r>
        <w:rPr>
          <w:rFonts w:hint="eastAsia"/>
          <w:spacing w:val="0"/>
          <w:w w:val="100"/>
          <w:kern w:val="2"/>
          <w:sz w:val="21"/>
        </w:rPr>
        <w:t>乙方有义务保证其撰写的可行性研究报告符合</w:t>
      </w:r>
      <w:r>
        <w:rPr>
          <w:rFonts w:hint="eastAsia"/>
          <w:spacing w:val="0"/>
          <w:w w:val="100"/>
          <w:kern w:val="2"/>
          <w:sz w:val="21"/>
          <w:lang w:eastAsia="zh-CN"/>
        </w:rPr>
        <w:t>递交</w:t>
      </w:r>
      <w:r>
        <w:rPr>
          <w:rFonts w:hint="eastAsia"/>
          <w:spacing w:val="0"/>
          <w:w w:val="100"/>
          <w:kern w:val="2"/>
          <w:sz w:val="21"/>
        </w:rPr>
        <w:t>审核要求。甲方必须完整提供所需资料及要求，配合编撰过程，如因甲方资料提供错误原因导致报告不过审，乙方不承担相应责任后果。</w:t>
      </w:r>
    </w:p>
    <w:p w14:paraId="44FD9B03">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sz w:val="21"/>
        </w:rPr>
      </w:pPr>
      <w:r>
        <w:rPr>
          <w:spacing w:val="0"/>
          <w:w w:val="100"/>
          <w:kern w:val="2"/>
          <w:sz w:val="21"/>
        </w:rPr>
        <w:t>第三条：支付方式</w:t>
      </w:r>
    </w:p>
    <w:p w14:paraId="4F090C8A">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rFonts w:hint="eastAsia"/>
          <w:spacing w:val="0"/>
          <w:w w:val="100"/>
          <w:kern w:val="2"/>
          <w:lang w:eastAsia="zh-CN"/>
        </w:rPr>
        <w:t>签订合同后，</w:t>
      </w:r>
      <w:r>
        <w:rPr>
          <w:spacing w:val="0"/>
          <w:w w:val="100"/>
          <w:kern w:val="2"/>
        </w:rPr>
        <w:t>甲方</w:t>
      </w:r>
      <w:r>
        <w:rPr>
          <w:rFonts w:hint="eastAsia"/>
          <w:spacing w:val="0"/>
          <w:w w:val="100"/>
          <w:kern w:val="2"/>
          <w:lang w:eastAsia="zh-CN"/>
        </w:rPr>
        <w:t>需</w:t>
      </w:r>
      <w:r>
        <w:rPr>
          <w:spacing w:val="0"/>
          <w:w w:val="100"/>
          <w:kern w:val="2"/>
        </w:rPr>
        <w:t>向乙方</w:t>
      </w:r>
      <w:r>
        <w:rPr>
          <w:rFonts w:hint="eastAsia"/>
          <w:spacing w:val="0"/>
          <w:w w:val="100"/>
          <w:kern w:val="2"/>
          <w:lang w:eastAsia="zh-CN"/>
        </w:rPr>
        <w:t>支付合同总额的</w:t>
      </w:r>
      <w:r>
        <w:rPr>
          <w:rFonts w:hint="eastAsia"/>
          <w:spacing w:val="0"/>
          <w:w w:val="100"/>
          <w:kern w:val="2"/>
          <w:lang w:val="en-US" w:eastAsia="zh-CN"/>
        </w:rPr>
        <w:t>50</w:t>
      </w:r>
      <w:r>
        <w:rPr>
          <w:spacing w:val="0"/>
          <w:w w:val="100"/>
          <w:kern w:val="2"/>
        </w:rPr>
        <w:t>%作为定金，乙方</w:t>
      </w:r>
      <w:r>
        <w:rPr>
          <w:rFonts w:hint="eastAsia"/>
          <w:spacing w:val="0"/>
          <w:w w:val="100"/>
          <w:kern w:val="2"/>
          <w:lang w:eastAsia="zh-CN"/>
        </w:rPr>
        <w:t>按规定时间撰写完毕后，以视频录屏方式向甲方提供初版审阅稿。</w:t>
      </w:r>
      <w:r>
        <w:rPr>
          <w:spacing w:val="0"/>
          <w:w w:val="100"/>
          <w:kern w:val="2"/>
        </w:rPr>
        <w:t>甲方</w:t>
      </w:r>
      <w:r>
        <w:rPr>
          <w:rFonts w:hint="eastAsia"/>
          <w:spacing w:val="0"/>
          <w:w w:val="100"/>
          <w:kern w:val="2"/>
          <w:lang w:eastAsia="zh-CN"/>
        </w:rPr>
        <w:t>确认是需求项目</w:t>
      </w:r>
      <w:r>
        <w:rPr>
          <w:spacing w:val="0"/>
          <w:w w:val="100"/>
          <w:kern w:val="2"/>
        </w:rPr>
        <w:t>后</w:t>
      </w:r>
      <w:r>
        <w:rPr>
          <w:rFonts w:hint="eastAsia"/>
          <w:spacing w:val="0"/>
          <w:w w:val="100"/>
          <w:kern w:val="2"/>
          <w:lang w:eastAsia="zh-CN"/>
        </w:rPr>
        <w:t>的两个工作日内，应</w:t>
      </w:r>
      <w:r>
        <w:rPr>
          <w:spacing w:val="0"/>
          <w:w w:val="100"/>
          <w:kern w:val="2"/>
        </w:rPr>
        <w:t>向乙方</w:t>
      </w:r>
      <w:r>
        <w:rPr>
          <w:rFonts w:hint="eastAsia"/>
          <w:spacing w:val="0"/>
          <w:w w:val="100"/>
          <w:kern w:val="2"/>
          <w:lang w:eastAsia="zh-CN"/>
        </w:rPr>
        <w:t>支付合同额剩余</w:t>
      </w:r>
      <w:r>
        <w:rPr>
          <w:rFonts w:hint="eastAsia"/>
          <w:spacing w:val="0"/>
          <w:w w:val="100"/>
          <w:kern w:val="2"/>
          <w:lang w:val="en-US" w:eastAsia="zh-CN"/>
        </w:rPr>
        <w:t>50</w:t>
      </w:r>
      <w:r>
        <w:rPr>
          <w:spacing w:val="0"/>
          <w:w w:val="100"/>
          <w:kern w:val="2"/>
        </w:rPr>
        <w:t>%款项，</w:t>
      </w:r>
      <w:r>
        <w:rPr>
          <w:rFonts w:hint="eastAsia"/>
          <w:spacing w:val="0"/>
          <w:w w:val="100"/>
          <w:kern w:val="2"/>
          <w:lang w:eastAsia="zh-CN"/>
        </w:rPr>
        <w:t>款项齐全后，</w:t>
      </w:r>
      <w:r>
        <w:rPr>
          <w:spacing w:val="0"/>
          <w:w w:val="100"/>
          <w:kern w:val="2"/>
        </w:rPr>
        <w:t>乙方向甲方交付可行性报告电子版</w:t>
      </w:r>
      <w:r>
        <w:rPr>
          <w:rFonts w:hint="eastAsia"/>
          <w:spacing w:val="0"/>
          <w:w w:val="100"/>
          <w:kern w:val="2"/>
          <w:lang w:eastAsia="zh-CN"/>
        </w:rPr>
        <w:t>完整原稿，经甲方</w:t>
      </w:r>
      <w:r>
        <w:rPr>
          <w:spacing w:val="0"/>
          <w:w w:val="100"/>
          <w:kern w:val="2"/>
        </w:rPr>
        <w:t>核对无误</w:t>
      </w:r>
      <w:r>
        <w:rPr>
          <w:rFonts w:hint="eastAsia"/>
          <w:spacing w:val="0"/>
          <w:w w:val="100"/>
          <w:kern w:val="2"/>
          <w:lang w:eastAsia="zh-CN"/>
        </w:rPr>
        <w:t>，乙方即可打印邮寄三份纸质版并加盖公章</w:t>
      </w:r>
      <w:r>
        <w:rPr>
          <w:spacing w:val="0"/>
          <w:w w:val="100"/>
          <w:kern w:val="2"/>
        </w:rPr>
        <w:t>向甲方邮寄。</w:t>
      </w:r>
    </w:p>
    <w:p w14:paraId="05947642">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乙方指定的收款银行账户信息：</w:t>
      </w:r>
    </w:p>
    <w:p w14:paraId="2DD0E3F8">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spacing w:val="0"/>
          <w:w w:val="100"/>
          <w:kern w:val="2"/>
          <w:lang w:eastAsia="zh-CN"/>
        </w:rPr>
      </w:pPr>
      <w:r>
        <w:rPr>
          <w:rFonts w:hint="eastAsia"/>
          <w:spacing w:val="0"/>
          <w:w w:val="100"/>
          <w:kern w:val="2"/>
          <w:lang w:eastAsia="zh-CN"/>
        </w:rPr>
        <w:t>户名</w:t>
      </w:r>
      <w:r>
        <w:rPr>
          <w:spacing w:val="0"/>
          <w:w w:val="100"/>
          <w:kern w:val="2"/>
        </w:rPr>
        <w:t>：</w:t>
      </w:r>
      <w:r>
        <w:rPr>
          <w:rFonts w:hint="eastAsia"/>
          <w:spacing w:val="0"/>
          <w:w w:val="100"/>
          <w:kern w:val="2"/>
          <w:lang w:eastAsia="zh-CN"/>
        </w:rPr>
        <w:t>中盎工程设计咨询有限公司天津滨海分公司</w:t>
      </w:r>
    </w:p>
    <w:p w14:paraId="7CBF4648">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spacing w:val="0"/>
          <w:w w:val="100"/>
          <w:kern w:val="2"/>
          <w:lang w:val="en-US" w:eastAsia="zh-CN"/>
        </w:rPr>
      </w:pPr>
      <w:r>
        <w:rPr>
          <w:spacing w:val="0"/>
          <w:w w:val="100"/>
          <w:kern w:val="2"/>
        </w:rPr>
        <w:t>银行账号：</w:t>
      </w:r>
      <w:r>
        <w:rPr>
          <w:rFonts w:hint="eastAsia"/>
          <w:spacing w:val="0"/>
          <w:w w:val="100"/>
          <w:kern w:val="2"/>
          <w:lang w:val="en-US" w:eastAsia="zh-CN"/>
        </w:rPr>
        <w:t>644469086</w:t>
      </w:r>
    </w:p>
    <w:p w14:paraId="723336BC">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eastAsia="新宋体"/>
          <w:spacing w:val="0"/>
          <w:w w:val="100"/>
          <w:kern w:val="2"/>
          <w:lang w:eastAsia="zh-CN"/>
        </w:rPr>
      </w:pPr>
      <w:r>
        <w:rPr>
          <w:spacing w:val="0"/>
          <w:w w:val="100"/>
          <w:kern w:val="2"/>
        </w:rPr>
        <w:t>开户银行：</w:t>
      </w:r>
      <w:r>
        <w:rPr>
          <w:rFonts w:hint="eastAsia"/>
          <w:spacing w:val="0"/>
          <w:w w:val="100"/>
          <w:kern w:val="2"/>
          <w:lang w:eastAsia="zh-CN"/>
        </w:rPr>
        <w:t>中国民生银行天津滨海支行</w:t>
      </w:r>
    </w:p>
    <w:p w14:paraId="2D09F71E">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rPr>
      </w:pPr>
      <w:r>
        <w:rPr>
          <w:spacing w:val="0"/>
          <w:w w:val="100"/>
          <w:kern w:val="2"/>
        </w:rPr>
        <w:t>第四条：发票开具方式</w:t>
      </w:r>
    </w:p>
    <w:p w14:paraId="3D073B57">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color w:val="auto"/>
          <w:spacing w:val="0"/>
          <w:w w:val="100"/>
          <w:kern w:val="2"/>
        </w:rPr>
        <w:t>乙方收款后</w:t>
      </w:r>
      <w:r>
        <w:rPr>
          <w:rFonts w:hint="eastAsia"/>
          <w:color w:val="auto"/>
          <w:spacing w:val="0"/>
          <w:w w:val="100"/>
          <w:kern w:val="2"/>
          <w:lang w:val="en-US" w:eastAsia="zh-CN"/>
        </w:rPr>
        <w:t>（北京时间14点前）</w:t>
      </w:r>
      <w:r>
        <w:rPr>
          <w:rFonts w:hint="eastAsia"/>
          <w:spacing w:val="0"/>
          <w:w w:val="100"/>
          <w:kern w:val="2"/>
          <w:lang w:val="en-US" w:eastAsia="zh-CN"/>
        </w:rPr>
        <w:t>当日</w:t>
      </w:r>
      <w:r>
        <w:rPr>
          <w:spacing w:val="0"/>
          <w:w w:val="100"/>
          <w:kern w:val="2"/>
        </w:rPr>
        <w:t>向甲方提供</w:t>
      </w:r>
      <w:r>
        <w:rPr>
          <w:rFonts w:hint="eastAsia"/>
          <w:spacing w:val="0"/>
          <w:w w:val="100"/>
          <w:kern w:val="2"/>
          <w:lang w:eastAsia="zh-CN"/>
        </w:rPr>
        <w:t>发票（普票</w:t>
      </w:r>
      <w:r>
        <w:rPr>
          <w:rFonts w:hint="eastAsia"/>
          <w:spacing w:val="0"/>
          <w:w w:val="100"/>
          <w:kern w:val="2"/>
          <w:lang w:val="en-US" w:eastAsia="zh-CN"/>
        </w:rPr>
        <w:t>/专票均可</w:t>
      </w:r>
      <w:r>
        <w:rPr>
          <w:rFonts w:hint="eastAsia"/>
          <w:spacing w:val="0"/>
          <w:w w:val="100"/>
          <w:kern w:val="2"/>
          <w:lang w:eastAsia="zh-CN"/>
        </w:rPr>
        <w:t>），具体开票信息以甲方提供信息为准</w:t>
      </w:r>
      <w:r>
        <w:rPr>
          <w:spacing w:val="0"/>
          <w:w w:val="100"/>
          <w:kern w:val="2"/>
        </w:rPr>
        <w:t xml:space="preserve">。 </w:t>
      </w:r>
    </w:p>
    <w:p w14:paraId="7F646E4A">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rPr>
      </w:pPr>
      <w:r>
        <w:rPr>
          <w:spacing w:val="0"/>
          <w:w w:val="100"/>
          <w:kern w:val="2"/>
        </w:rPr>
        <w:t>第五条：售后服务</w:t>
      </w:r>
    </w:p>
    <w:p w14:paraId="0C49AAA9">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default" w:eastAsia="新宋体"/>
          <w:spacing w:val="0"/>
          <w:w w:val="100"/>
          <w:kern w:val="2"/>
          <w:lang w:val="en-US" w:eastAsia="zh-CN"/>
        </w:rPr>
      </w:pPr>
      <w:r>
        <w:rPr>
          <w:rFonts w:hint="eastAsia"/>
          <w:spacing w:val="0"/>
          <w:w w:val="100"/>
          <w:kern w:val="2"/>
        </w:rPr>
        <w:t>自初稿文件交付日起，</w:t>
      </w:r>
      <w:r>
        <w:rPr>
          <w:rFonts w:hint="eastAsia"/>
          <w:color w:val="auto"/>
          <w:spacing w:val="0"/>
          <w:w w:val="100"/>
          <w:kern w:val="2"/>
        </w:rPr>
        <w:t>针对银行批示的修改意见，乙方提供免费修改服务</w:t>
      </w:r>
      <w:r>
        <w:rPr>
          <w:rFonts w:hint="eastAsia"/>
          <w:color w:val="auto"/>
          <w:spacing w:val="0"/>
          <w:w w:val="100"/>
          <w:kern w:val="2"/>
          <w:lang w:eastAsia="zh-CN"/>
        </w:rPr>
        <w:t>，</w:t>
      </w:r>
      <w:r>
        <w:rPr>
          <w:rFonts w:hint="eastAsia"/>
          <w:spacing w:val="0"/>
          <w:w w:val="100"/>
          <w:kern w:val="2"/>
        </w:rPr>
        <w:t>如需要修改不在免费服务范围的内容，需收取合同额20%为单次修改费用。</w:t>
      </w:r>
    </w:p>
    <w:p w14:paraId="649010FA">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spacing w:val="0"/>
          <w:w w:val="100"/>
          <w:kern w:val="2"/>
          <w:lang w:eastAsia="zh-CN"/>
        </w:rPr>
      </w:pPr>
      <w:r>
        <w:rPr>
          <w:rFonts w:hint="eastAsia"/>
          <w:spacing w:val="0"/>
          <w:w w:val="100"/>
          <w:kern w:val="2"/>
        </w:rPr>
        <w:t>甲方同意发生修改要求时，以书面或邮件的形式通知乙方修改要求和内容</w:t>
      </w:r>
      <w:r>
        <w:rPr>
          <w:rFonts w:hint="eastAsia"/>
          <w:spacing w:val="0"/>
          <w:w w:val="100"/>
          <w:kern w:val="2"/>
          <w:lang w:eastAsia="zh-CN"/>
        </w:rPr>
        <w:t>。</w:t>
      </w:r>
    </w:p>
    <w:p w14:paraId="4D587DFF">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spacing w:val="0"/>
          <w:w w:val="100"/>
          <w:kern w:val="2"/>
        </w:rPr>
      </w:pPr>
      <w:r>
        <w:rPr>
          <w:rFonts w:hint="eastAsia"/>
          <w:spacing w:val="0"/>
          <w:w w:val="100"/>
          <w:kern w:val="2"/>
        </w:rPr>
        <w:t>“服务”的免费售后期限非终</w:t>
      </w:r>
      <w:r>
        <w:rPr>
          <w:rFonts w:hint="eastAsia"/>
          <w:spacing w:val="0"/>
          <w:w w:val="100"/>
          <w:kern w:val="2"/>
          <w:lang w:eastAsia="zh-CN"/>
        </w:rPr>
        <w:t>身</w:t>
      </w:r>
      <w:r>
        <w:rPr>
          <w:rFonts w:hint="eastAsia"/>
          <w:spacing w:val="0"/>
          <w:w w:val="100"/>
          <w:kern w:val="2"/>
        </w:rPr>
        <w:t>永久，甲方需要在</w:t>
      </w:r>
      <w:r>
        <w:rPr>
          <w:rFonts w:hint="eastAsia"/>
          <w:color w:val="auto"/>
          <w:spacing w:val="0"/>
          <w:w w:val="100"/>
          <w:kern w:val="2"/>
        </w:rPr>
        <w:t>合同有效期限</w:t>
      </w:r>
      <w:r>
        <w:rPr>
          <w:rFonts w:hint="eastAsia"/>
          <w:spacing w:val="0"/>
          <w:w w:val="100"/>
          <w:kern w:val="2"/>
        </w:rPr>
        <w:t>内提出修改要求，如超出免费售后期限，甲方应支付相应服务的额外费用;</w:t>
      </w:r>
    </w:p>
    <w:p w14:paraId="4A41A88C">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spacing w:val="0"/>
          <w:w w:val="100"/>
          <w:kern w:val="2"/>
        </w:rPr>
      </w:pPr>
      <w:r>
        <w:rPr>
          <w:rFonts w:hint="eastAsia"/>
          <w:spacing w:val="0"/>
          <w:w w:val="100"/>
          <w:kern w:val="2"/>
        </w:rPr>
        <w:t>“服务”的免费售后范围应遵循所提供服务条件，如果甲方的修改要求超出修改内容限定，甲方应支付额外费用。</w:t>
      </w:r>
    </w:p>
    <w:p w14:paraId="725560A3">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spacing w:val="0"/>
          <w:w w:val="100"/>
          <w:kern w:val="2"/>
          <w:lang w:eastAsia="zh-CN"/>
        </w:rPr>
      </w:pPr>
      <w:r>
        <w:rPr>
          <w:rFonts w:hint="eastAsia"/>
          <w:spacing w:val="0"/>
          <w:w w:val="100"/>
          <w:kern w:val="2"/>
          <w:lang w:eastAsia="zh-CN"/>
        </w:rPr>
        <w:t>乙方应确保报质量，不得因报告原因导致项目无法继续。如因报告质量问题未通过项目审批，甲方需提供相关权威证明文件（如：专家会会议记录含专家意见签字，红头文件批示，含权威机构公章的认定书等具有权威性的证明文件。），一经认定责任方，乙方可退还全部款项。</w:t>
      </w:r>
    </w:p>
    <w:p w14:paraId="13A31A59">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rPr>
      </w:pPr>
      <w:r>
        <w:rPr>
          <w:spacing w:val="0"/>
          <w:w w:val="100"/>
          <w:kern w:val="2"/>
        </w:rPr>
        <w:t>第六条：甲方的权利和义务</w:t>
      </w:r>
    </w:p>
    <w:p w14:paraId="6E4C1BFA">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一、甲方有权要求乙方按合同约定提供各项服务。</w:t>
      </w:r>
    </w:p>
    <w:p w14:paraId="1419BB5B">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 xml:space="preserve">二、甲方有权对乙方提供的各项服务提出意见及修改。 </w:t>
      </w:r>
    </w:p>
    <w:p w14:paraId="16C40AD6">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三、甲方负责撰写、对接过程中提供必要的相关材料。</w:t>
      </w:r>
    </w:p>
    <w:p w14:paraId="7CD6007E">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四、依照本合同约定及时、足额地支付服务费用。如甲方未按约定及时、足额付款，乙方有权拒绝或暂停向甲方提供服务，由此产生的一切损失由甲方承担。</w:t>
      </w:r>
    </w:p>
    <w:p w14:paraId="613E8826">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五、甲方保证其有权为履行本合同向乙方提供相关内容和信息，并保证相关内容和信息真实、完整、及时、准确、有效，且未侵犯任何第三方之合法权益，符合中国各项法律、法规、部门规章、规范性文件，不存在虚假、误导性陈述或遗漏，任何由该内容引起之争议、诉求、纠纷均与乙方无关，且应由甲方自行承担相关法律责任。</w:t>
      </w:r>
    </w:p>
    <w:p w14:paraId="5008D430">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六、在本合同有效期内，如因甲方自身原因导致变更、提前终止合作的，甲方应至少提前十个工作日书面通知乙方。</w:t>
      </w:r>
    </w:p>
    <w:p w14:paraId="5C39219B">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rPr>
      </w:pPr>
      <w:r>
        <w:rPr>
          <w:spacing w:val="0"/>
          <w:w w:val="100"/>
          <w:kern w:val="2"/>
        </w:rPr>
        <w:t>第七条：乙方的权利和义务</w:t>
      </w:r>
    </w:p>
    <w:p w14:paraId="3E955FD5">
      <w:pPr>
        <w:pStyle w:val="3"/>
        <w:keepNext w:val="0"/>
        <w:keepLines w:val="0"/>
        <w:pageBreakBefore w:val="0"/>
        <w:widowControl w:val="0"/>
        <w:numPr>
          <w:ilvl w:val="0"/>
          <w:numId w:val="2"/>
        </w:numPr>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乙方保证可行性研究报告中涉及的数据的真实性、有效性</w:t>
      </w:r>
      <w:r>
        <w:rPr>
          <w:rFonts w:hint="eastAsia"/>
          <w:spacing w:val="0"/>
          <w:w w:val="100"/>
          <w:kern w:val="2"/>
          <w:lang w:eastAsia="zh-CN"/>
        </w:rPr>
        <w:t>。</w:t>
      </w:r>
    </w:p>
    <w:p w14:paraId="7BF12460">
      <w:pPr>
        <w:pStyle w:val="3"/>
        <w:keepNext w:val="0"/>
        <w:keepLines w:val="0"/>
        <w:pageBreakBefore w:val="0"/>
        <w:widowControl w:val="0"/>
        <w:numPr>
          <w:numId w:val="0"/>
        </w:numPr>
        <w:kinsoku/>
        <w:wordWrap w:val="0"/>
        <w:overflowPunct/>
        <w:topLinePunct w:val="0"/>
        <w:autoSpaceDE/>
        <w:autoSpaceDN/>
        <w:bidi w:val="0"/>
        <w:adjustRightInd/>
        <w:snapToGrid/>
        <w:spacing w:line="360" w:lineRule="auto"/>
        <w:ind w:leftChars="200" w:right="0" w:rightChars="0"/>
        <w:jc w:val="both"/>
        <w:textAlignment w:val="auto"/>
        <w:rPr>
          <w:spacing w:val="0"/>
          <w:w w:val="100"/>
          <w:kern w:val="2"/>
        </w:rPr>
      </w:pPr>
      <w:r>
        <w:rPr>
          <w:spacing w:val="0"/>
          <w:w w:val="100"/>
          <w:kern w:val="2"/>
        </w:rPr>
        <w:t>二、乙方严格按照甲方的要求做好该项目的保密工作。</w:t>
      </w:r>
    </w:p>
    <w:p w14:paraId="481B6903">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三、乙方应按照协议规定方式、时间交付服务内容。</w:t>
      </w:r>
    </w:p>
    <w:p w14:paraId="62D0B33C">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四、乙方应按合同约定提供服务，并积极为甲方解答相关问题。</w:t>
      </w:r>
    </w:p>
    <w:p w14:paraId="1810AB8A">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五、非因乙方过错导致服务无法继续，乙方不承担任何责任。</w:t>
      </w:r>
    </w:p>
    <w:p w14:paraId="659C6E61">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六、如果因甲方未按本合同的约定支付服务费用或向乙方提供的相关资料、内容等不完整、迟延、非法、不真实等，造成乙方对接、制作、撰写等迟延，乙方不承担违约责任。</w:t>
      </w:r>
    </w:p>
    <w:p w14:paraId="47F95B9C">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rFonts w:hint="eastAsia"/>
          <w:spacing w:val="0"/>
          <w:w w:val="100"/>
          <w:kern w:val="2"/>
        </w:rPr>
        <w:t>七、在合同有限期内甲方未缴纳</w:t>
      </w:r>
      <w:r>
        <w:rPr>
          <w:rFonts w:hint="eastAsia"/>
          <w:color w:val="auto"/>
          <w:spacing w:val="0"/>
          <w:w w:val="100"/>
          <w:kern w:val="2"/>
          <w:lang w:val="en-US" w:eastAsia="zh-CN"/>
        </w:rPr>
        <w:t>应付合同款</w:t>
      </w:r>
      <w:r>
        <w:rPr>
          <w:rFonts w:hint="eastAsia"/>
          <w:spacing w:val="0"/>
          <w:w w:val="100"/>
          <w:kern w:val="2"/>
        </w:rPr>
        <w:t>，乙方有权按每日千分之五的违约金要求甲方赔偿。</w:t>
      </w:r>
    </w:p>
    <w:p w14:paraId="50F90B0F">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rPr>
      </w:pPr>
      <w:r>
        <w:rPr>
          <w:spacing w:val="0"/>
          <w:w w:val="100"/>
          <w:kern w:val="2"/>
        </w:rPr>
        <w:t>第八条：项目保密协议</w:t>
      </w:r>
    </w:p>
    <w:p w14:paraId="7ED3454F">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甲乙方对于因签署或履行本合同而了解或接触到的对方的资料、信息（包括但不限于商业秘密、图文数据、与业务有关的客户资料、本合同涉及的付款金额、付款方式等）均负有保密义务；除为履行本合同之目的，非经对方书面同意或依约定公开，任何一方不得向第三方泄漏、给予或转让该等保密信息。</w:t>
      </w:r>
    </w:p>
    <w:p w14:paraId="459DB332">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一、本协议所称的保密信息，包括但不限于：</w:t>
      </w:r>
    </w:p>
    <w:p w14:paraId="35C3E141">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（1）甲方或乙方为了项目的实施，披露给对方的相关任何形式的项目信息，无论是为了确认双方的身份、订立协议或增进双方的了解等事宜；</w:t>
      </w:r>
    </w:p>
    <w:p w14:paraId="14D2D5FE">
      <w:pPr>
        <w:pStyle w:val="9"/>
        <w:keepNext w:val="0"/>
        <w:keepLines w:val="0"/>
        <w:pageBreakBefore w:val="0"/>
        <w:widowControl w:val="0"/>
        <w:numPr>
          <w:ilvl w:val="0"/>
          <w:numId w:val="0"/>
        </w:numPr>
        <w:tabs>
          <w:tab w:val="left" w:pos="757"/>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（2）</w:t>
      </w:r>
      <w:r>
        <w:rPr>
          <w:spacing w:val="0"/>
          <w:w w:val="100"/>
          <w:kern w:val="2"/>
          <w:sz w:val="21"/>
        </w:rPr>
        <w:t>甲方或乙方披露给对方的各种形式的信件、文件、文字或数据信息；</w:t>
      </w:r>
    </w:p>
    <w:p w14:paraId="54F79078">
      <w:pPr>
        <w:pStyle w:val="9"/>
        <w:keepNext w:val="0"/>
        <w:keepLines w:val="0"/>
        <w:pageBreakBefore w:val="0"/>
        <w:widowControl w:val="0"/>
        <w:numPr>
          <w:ilvl w:val="0"/>
          <w:numId w:val="0"/>
        </w:numPr>
        <w:tabs>
          <w:tab w:val="left" w:pos="757"/>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（3）</w:t>
      </w:r>
      <w:r>
        <w:rPr>
          <w:spacing w:val="0"/>
          <w:w w:val="100"/>
          <w:kern w:val="2"/>
          <w:sz w:val="21"/>
        </w:rPr>
        <w:t>甲方或乙方披露给对方的相关的调查报告、客户信息、研究报告；</w:t>
      </w:r>
    </w:p>
    <w:p w14:paraId="4CC0D889">
      <w:pPr>
        <w:pStyle w:val="9"/>
        <w:keepNext w:val="0"/>
        <w:keepLines w:val="0"/>
        <w:pageBreakBefore w:val="0"/>
        <w:widowControl w:val="0"/>
        <w:numPr>
          <w:ilvl w:val="0"/>
          <w:numId w:val="0"/>
        </w:numPr>
        <w:tabs>
          <w:tab w:val="left" w:pos="757"/>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（4）</w:t>
      </w:r>
      <w:r>
        <w:rPr>
          <w:spacing w:val="0"/>
          <w:w w:val="100"/>
          <w:kern w:val="2"/>
          <w:sz w:val="21"/>
        </w:rPr>
        <w:t>甲方或乙方披露给对方的相关的市场信息、财务信息、产品信息、技术信息。</w:t>
      </w:r>
    </w:p>
    <w:p w14:paraId="6C81DED7">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二、接受信息的一方应该：</w:t>
      </w:r>
    </w:p>
    <w:p w14:paraId="137ABD40">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（1）</w:t>
      </w:r>
      <w:r>
        <w:rPr>
          <w:spacing w:val="0"/>
          <w:w w:val="100"/>
          <w:kern w:val="2"/>
          <w:sz w:val="21"/>
        </w:rPr>
        <w:t>对接收的保密信息严格采取保密措施不得泄露；</w:t>
      </w:r>
    </w:p>
    <w:p w14:paraId="1DDE6E17">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（2）</w:t>
      </w:r>
      <w:r>
        <w:rPr>
          <w:spacing w:val="0"/>
          <w:w w:val="100"/>
          <w:kern w:val="2"/>
          <w:sz w:val="21"/>
        </w:rPr>
        <w:t>未经披露方同意不得向第三方披露；</w:t>
      </w:r>
    </w:p>
    <w:p w14:paraId="51F2ACE7">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（3）</w:t>
      </w:r>
      <w:r>
        <w:rPr>
          <w:spacing w:val="0"/>
          <w:w w:val="100"/>
          <w:kern w:val="2"/>
          <w:sz w:val="21"/>
        </w:rPr>
        <w:t>仅仅为了项目的实施使用这些信息；</w:t>
      </w:r>
    </w:p>
    <w:p w14:paraId="35F6FEAE">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（4）</w:t>
      </w:r>
      <w:r>
        <w:rPr>
          <w:spacing w:val="0"/>
          <w:w w:val="100"/>
          <w:kern w:val="2"/>
          <w:sz w:val="21"/>
        </w:rPr>
        <w:t>仅仅为了项目的实施向其雇员、专业顾问及相关人员和机构披露；</w:t>
      </w:r>
    </w:p>
    <w:p w14:paraId="420D03E4">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（5）</w:t>
      </w:r>
      <w:r>
        <w:rPr>
          <w:spacing w:val="0"/>
          <w:w w:val="100"/>
          <w:kern w:val="2"/>
          <w:sz w:val="21"/>
        </w:rPr>
        <w:t>必须适当地使用这些信息，并不违反本保密协议的约定；</w:t>
      </w:r>
    </w:p>
    <w:p w14:paraId="23D5B1EB">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（6）</w:t>
      </w:r>
      <w:r>
        <w:rPr>
          <w:spacing w:val="0"/>
          <w:w w:val="100"/>
          <w:kern w:val="2"/>
          <w:sz w:val="21"/>
        </w:rPr>
        <w:t xml:space="preserve">项目完成后，乙方销毁甲方提供的资料和数据。 </w:t>
      </w:r>
    </w:p>
    <w:p w14:paraId="24EA265A">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420" w:firstLineChars="200"/>
        <w:jc w:val="both"/>
        <w:textAlignment w:val="auto"/>
        <w:rPr>
          <w:spacing w:val="0"/>
          <w:w w:val="100"/>
          <w:kern w:val="2"/>
          <w:sz w:val="21"/>
        </w:rPr>
      </w:pPr>
      <w:r>
        <w:rPr>
          <w:spacing w:val="0"/>
          <w:w w:val="100"/>
          <w:kern w:val="2"/>
          <w:sz w:val="21"/>
        </w:rPr>
        <w:t>三、第二条规定的信息不包括：</w:t>
      </w:r>
    </w:p>
    <w:p w14:paraId="1CA11024">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（1）</w:t>
      </w:r>
      <w:r>
        <w:rPr>
          <w:spacing w:val="0"/>
          <w:w w:val="100"/>
          <w:kern w:val="2"/>
          <w:sz w:val="21"/>
        </w:rPr>
        <w:t>已经公开的信息；</w:t>
      </w:r>
    </w:p>
    <w:p w14:paraId="1CB5958D">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（2）</w:t>
      </w:r>
      <w:r>
        <w:rPr>
          <w:spacing w:val="0"/>
          <w:w w:val="100"/>
          <w:kern w:val="2"/>
          <w:sz w:val="21"/>
        </w:rPr>
        <w:t>接受方在接受前已知的信息；</w:t>
      </w:r>
    </w:p>
    <w:p w14:paraId="11BD7427">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（3）</w:t>
      </w:r>
      <w:r>
        <w:rPr>
          <w:spacing w:val="0"/>
          <w:w w:val="100"/>
          <w:kern w:val="2"/>
          <w:sz w:val="21"/>
        </w:rPr>
        <w:t>从没有保密义务的第三方自行获得的信息。</w:t>
      </w:r>
    </w:p>
    <w:p w14:paraId="5BD2F2A9">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（4）</w:t>
      </w:r>
      <w:r>
        <w:rPr>
          <w:spacing w:val="0"/>
          <w:w w:val="100"/>
          <w:kern w:val="2"/>
          <w:sz w:val="21"/>
        </w:rPr>
        <w:t>经甲方事先同意，向第三方披露；</w:t>
      </w:r>
    </w:p>
    <w:p w14:paraId="15F0FC85">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（5）</w:t>
      </w:r>
      <w:r>
        <w:rPr>
          <w:spacing w:val="0"/>
          <w:w w:val="100"/>
          <w:kern w:val="2"/>
          <w:sz w:val="21"/>
        </w:rPr>
        <w:t>根据法律的有关规定，或者行政或司法机构的要求，向第三方或行政、司法机构披露；</w:t>
      </w:r>
    </w:p>
    <w:p w14:paraId="446B9ED7">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（6）</w:t>
      </w:r>
      <w:r>
        <w:rPr>
          <w:spacing w:val="0"/>
          <w:w w:val="100"/>
          <w:kern w:val="2"/>
          <w:sz w:val="21"/>
        </w:rPr>
        <w:t>如甲方出现违反中国有关法律、法规或者本协议的情况，需要向第三方披露；</w:t>
      </w:r>
    </w:p>
    <w:p w14:paraId="1D805854">
      <w:pPr>
        <w:pStyle w:val="9"/>
        <w:keepNext w:val="0"/>
        <w:keepLines w:val="0"/>
        <w:pageBreakBefore w:val="0"/>
        <w:widowControl w:val="0"/>
        <w:numPr>
          <w:ilvl w:val="0"/>
          <w:numId w:val="0"/>
        </w:numPr>
        <w:tabs>
          <w:tab w:val="left" w:pos="765"/>
        </w:tabs>
        <w:kinsoku/>
        <w:wordWrap w:val="0"/>
        <w:overflowPunct/>
        <w:topLinePunct w:val="0"/>
        <w:autoSpaceDE/>
        <w:autoSpaceDN/>
        <w:bidi w:val="0"/>
        <w:adjustRightInd/>
        <w:snapToGrid/>
        <w:spacing w:before="0" w:line="360" w:lineRule="auto"/>
        <w:ind w:left="0" w:leftChars="0" w:right="0" w:rightChars="0" w:firstLine="380" w:firstLineChars="200"/>
        <w:jc w:val="both"/>
        <w:textAlignment w:val="auto"/>
        <w:rPr>
          <w:spacing w:val="0"/>
          <w:w w:val="100"/>
          <w:kern w:val="2"/>
          <w:sz w:val="21"/>
        </w:rPr>
      </w:pPr>
      <w:r>
        <w:rPr>
          <w:rFonts w:hint="default" w:ascii="新宋体" w:hAnsi="新宋体" w:eastAsia="新宋体" w:cs="新宋体"/>
          <w:spacing w:val="0"/>
          <w:w w:val="100"/>
          <w:kern w:val="2"/>
          <w:sz w:val="19"/>
          <w:szCs w:val="19"/>
          <w:lang w:val="zh-CN" w:eastAsia="zh-CN" w:bidi="zh-CN"/>
        </w:rPr>
        <w:t>（7）</w:t>
      </w:r>
      <w:r>
        <w:rPr>
          <w:spacing w:val="0"/>
          <w:w w:val="100"/>
          <w:kern w:val="2"/>
          <w:sz w:val="21"/>
        </w:rPr>
        <w:t>其它乙方根据法律、法规或者政策认为合适的披露。</w:t>
      </w:r>
    </w:p>
    <w:p w14:paraId="1716DCF3">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四、本条款不因合同的终止而无效，合同终止后对双方仍然具有约束力。</w:t>
      </w:r>
    </w:p>
    <w:p w14:paraId="2B9A0838">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rPr>
      </w:pPr>
      <w:r>
        <w:rPr>
          <w:spacing w:val="0"/>
          <w:w w:val="100"/>
          <w:kern w:val="2"/>
        </w:rPr>
        <w:t>第九条：责任范围</w:t>
      </w:r>
    </w:p>
    <w:p w14:paraId="075976F3">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甲方明确理解和同意，乙方不因下述任一情况而发生的任何损害赔偿承担责任，包括但不限于利润、融资、使用、数据等方面的损失或其他无形损失的损害赔偿 (无论乙方是否已被告知该等损害赔偿的可能性)：</w:t>
      </w:r>
    </w:p>
    <w:p w14:paraId="23727927">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一、乙方不会就通过“服务”</w:t>
      </w:r>
      <w:r>
        <w:rPr>
          <w:color w:val="auto"/>
          <w:spacing w:val="0"/>
          <w:w w:val="100"/>
          <w:kern w:val="2"/>
        </w:rPr>
        <w:t>出品的任何资料的准确性、</w:t>
      </w:r>
      <w:r>
        <w:rPr>
          <w:spacing w:val="0"/>
          <w:w w:val="100"/>
          <w:kern w:val="2"/>
        </w:rPr>
        <w:t>可获利性负责或承担任何责任；</w:t>
      </w:r>
    </w:p>
    <w:p w14:paraId="035485E0">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二、乙方不会对根据“服务”出品的任何资料而作出的任何融资、交易或投资决策负责或承担任何责任；</w:t>
      </w:r>
    </w:p>
    <w:p w14:paraId="765F050F">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color w:val="auto"/>
          <w:spacing w:val="0"/>
          <w:w w:val="100"/>
          <w:kern w:val="2"/>
        </w:rPr>
      </w:pPr>
      <w:r>
        <w:rPr>
          <w:spacing w:val="0"/>
          <w:w w:val="100"/>
          <w:kern w:val="2"/>
        </w:rPr>
        <w:t>三、乙方不会对因本合同约定的任何条款、出品的任何资料及“服务”的任何其他事宜承担任何责任，包括双方的过失与疏忽。</w:t>
      </w:r>
    </w:p>
    <w:p w14:paraId="050244DB">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rPr>
      </w:pPr>
      <w:r>
        <w:rPr>
          <w:spacing w:val="0"/>
          <w:w w:val="100"/>
          <w:kern w:val="2"/>
        </w:rPr>
        <w:t>第十条：不可抗力</w:t>
      </w:r>
    </w:p>
    <w:p w14:paraId="46E8C0AB">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本协议的任何一方如遭遇到所力不能及的事由，以致全部或无法履行本协议，则可在下列范围内免除其违约责任，包括但不限于自然灾害、罢工或骚乱、物质短缺或定量配给、暴动、战争行为、政府行为、疫情、通讯或其他设施故障或严重伤亡事故等。</w:t>
      </w:r>
    </w:p>
    <w:p w14:paraId="6A51758A">
      <w:pPr>
        <w:pStyle w:val="2"/>
        <w:keepNext w:val="0"/>
        <w:keepLines w:val="0"/>
        <w:pageBreakBefore w:val="0"/>
        <w:widowControl w:val="0"/>
        <w:kinsoku/>
        <w:wordWrap w:val="0"/>
        <w:overflowPunct/>
        <w:topLinePunct w:val="0"/>
        <w:autoSpaceDE/>
        <w:autoSpaceDN/>
        <w:bidi w:val="0"/>
        <w:adjustRightInd/>
        <w:snapToGrid/>
        <w:spacing w:line="360" w:lineRule="auto"/>
        <w:ind w:left="0" w:right="0" w:firstLine="422" w:firstLineChars="200"/>
        <w:jc w:val="both"/>
        <w:textAlignment w:val="auto"/>
        <w:rPr>
          <w:spacing w:val="0"/>
          <w:w w:val="100"/>
          <w:kern w:val="2"/>
        </w:rPr>
      </w:pPr>
      <w:r>
        <w:rPr>
          <w:spacing w:val="0"/>
          <w:w w:val="100"/>
          <w:kern w:val="2"/>
        </w:rPr>
        <w:t>第十一条：附则</w:t>
      </w:r>
    </w:p>
    <w:p w14:paraId="5B2DC704">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一、本合同各条款之标题为方便之用，不对本合同双方产生任何约束力。</w:t>
      </w:r>
    </w:p>
    <w:p w14:paraId="362C290D">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color w:val="auto"/>
          <w:spacing w:val="0"/>
          <w:w w:val="100"/>
          <w:kern w:val="2"/>
        </w:rPr>
      </w:pPr>
      <w:r>
        <w:rPr>
          <w:spacing w:val="0"/>
          <w:w w:val="100"/>
          <w:kern w:val="2"/>
        </w:rPr>
        <w:t>二、</w:t>
      </w:r>
      <w:r>
        <w:rPr>
          <w:color w:val="auto"/>
          <w:spacing w:val="0"/>
          <w:w w:val="100"/>
          <w:kern w:val="2"/>
        </w:rPr>
        <w:t>本合同自双方盖章或加盖合法有效电子签章后于文首约定日期生效、有效期</w:t>
      </w:r>
      <w:r>
        <w:rPr>
          <w:rFonts w:hint="eastAsia"/>
          <w:color w:val="auto"/>
          <w:spacing w:val="0"/>
          <w:w w:val="100"/>
          <w:kern w:val="2"/>
          <w:lang w:val="en-US" w:eastAsia="zh-CN"/>
        </w:rPr>
        <w:t>3</w:t>
      </w:r>
      <w:r>
        <w:rPr>
          <w:color w:val="auto"/>
          <w:spacing w:val="0"/>
          <w:w w:val="100"/>
          <w:kern w:val="2"/>
        </w:rPr>
        <w:t>个月，本合同附件与本合同具有同等法律效力。</w:t>
      </w:r>
    </w:p>
    <w:p w14:paraId="487A2A70">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三、因本合同订立、变更、履行、解释、争议解决而发生任何争议，应通过友好协商加以解决。不能协商解决的，任何一方均有权向双方所在地人民法院提起诉讼解决争议。</w:t>
      </w:r>
    </w:p>
    <w:p w14:paraId="7433257A">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四、本合同生效后将替代双方之前就本合同服务事宜达成的一切书面、口头协议及文书。</w:t>
      </w:r>
    </w:p>
    <w:p w14:paraId="495DE5D4">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spacing w:val="0"/>
          <w:w w:val="100"/>
          <w:kern w:val="2"/>
        </w:rPr>
      </w:pPr>
      <w:r>
        <w:rPr>
          <w:spacing w:val="0"/>
          <w:w w:val="100"/>
          <w:kern w:val="2"/>
        </w:rPr>
        <w:t>五、本协议一式二份，双方各执一份，本合同扫描件、打印件、复印件均视同原件，与原件具有同等法律效力。</w:t>
      </w:r>
    </w:p>
    <w:p w14:paraId="3F486EA4">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color w:val="auto"/>
          <w:spacing w:val="0"/>
          <w:w w:val="100"/>
          <w:kern w:val="2"/>
          <w:lang w:val="en-US" w:eastAsia="zh-CN"/>
        </w:rPr>
      </w:pPr>
      <w:r>
        <w:rPr>
          <w:rFonts w:hint="eastAsia"/>
          <w:color w:val="auto"/>
          <w:spacing w:val="0"/>
          <w:w w:val="100"/>
          <w:kern w:val="2"/>
          <w:lang w:val="en-US" w:eastAsia="zh-CN"/>
        </w:rPr>
        <w:t>附件1：营业执照</w:t>
      </w:r>
    </w:p>
    <w:p w14:paraId="717EDE6C">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color w:val="auto"/>
          <w:spacing w:val="0"/>
          <w:w w:val="100"/>
          <w:kern w:val="2"/>
          <w:lang w:val="en-US" w:eastAsia="zh-CN"/>
        </w:rPr>
      </w:pPr>
      <w:r>
        <w:rPr>
          <w:rFonts w:hint="eastAsia"/>
          <w:color w:val="auto"/>
          <w:spacing w:val="0"/>
          <w:w w:val="100"/>
          <w:kern w:val="2"/>
          <w:lang w:val="en-US" w:eastAsia="zh-CN"/>
        </w:rPr>
        <w:t>附件2：相关资质</w:t>
      </w:r>
    </w:p>
    <w:p w14:paraId="31CA9969">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color w:val="auto"/>
          <w:spacing w:val="0"/>
          <w:w w:val="100"/>
          <w:kern w:val="2"/>
          <w:lang w:val="en-US" w:eastAsia="zh-CN"/>
        </w:rPr>
      </w:pPr>
      <w:r>
        <w:rPr>
          <w:rFonts w:hint="eastAsia"/>
          <w:color w:val="auto"/>
          <w:spacing w:val="0"/>
          <w:w w:val="100"/>
          <w:kern w:val="2"/>
          <w:lang w:val="en-US" w:eastAsia="zh-CN"/>
        </w:rPr>
        <w:t>附件3：发改委备案信息</w:t>
      </w:r>
    </w:p>
    <w:p w14:paraId="264F5C6D">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color w:val="auto"/>
          <w:spacing w:val="0"/>
          <w:w w:val="100"/>
          <w:kern w:val="2"/>
          <w:lang w:val="en-US" w:eastAsia="zh-CN"/>
        </w:rPr>
      </w:pPr>
      <w:r>
        <w:rPr>
          <w:rFonts w:hint="eastAsia"/>
          <w:color w:val="auto"/>
          <w:spacing w:val="0"/>
          <w:w w:val="100"/>
          <w:kern w:val="2"/>
          <w:lang w:val="en-US" w:eastAsia="zh-CN"/>
        </w:rPr>
        <w:t>（以下无正文，为附件和签署页）</w:t>
      </w:r>
      <w:r>
        <w:rPr>
          <w:rFonts w:hint="eastAsia"/>
          <w:color w:val="auto"/>
          <w:spacing w:val="0"/>
          <w:w w:val="100"/>
          <w:kern w:val="2"/>
          <w:lang w:val="en-US" w:eastAsia="zh-CN"/>
        </w:rPr>
        <w:br w:type="page"/>
      </w:r>
    </w:p>
    <w:p w14:paraId="123BF809">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color w:val="auto"/>
          <w:spacing w:val="0"/>
          <w:w w:val="100"/>
          <w:kern w:val="2"/>
          <w:lang w:val="en-US" w:eastAsia="zh-CN"/>
        </w:rPr>
      </w:pPr>
      <w:r>
        <w:rPr>
          <w:rFonts w:hint="eastAsia"/>
          <w:color w:val="auto"/>
          <w:spacing w:val="0"/>
          <w:w w:val="100"/>
          <w:kern w:val="2"/>
          <w:lang w:val="en-US" w:eastAsia="zh-CN"/>
        </w:rPr>
        <w:t>附件一：营业执照</w:t>
      </w:r>
    </w:p>
    <w:p w14:paraId="5FE32EA9">
      <w:pPr>
        <w:pStyle w:val="3"/>
        <w:spacing w:before="1"/>
        <w:jc w:val="both"/>
        <w:rPr>
          <w:rFonts w:hint="eastAsia"/>
          <w:sz w:val="25"/>
          <w:lang w:eastAsia="zh-CN"/>
        </w:rPr>
      </w:pPr>
      <w:r>
        <w:rPr>
          <w:rFonts w:hint="eastAsia"/>
          <w:sz w:val="25"/>
          <w:lang w:eastAsia="zh-CN"/>
        </w:rPr>
        <w:drawing>
          <wp:inline distT="0" distB="0" distL="114300" distR="114300">
            <wp:extent cx="5595620" cy="3957320"/>
            <wp:effectExtent l="9525" t="9525" r="14605" b="14605"/>
            <wp:docPr id="5" name="图片 5" descr="中盎营副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中盎营副_00"/>
                    <pic:cNvPicPr>
                      <a:picLocks noChangeAspect="1"/>
                    </pic:cNvPicPr>
                  </pic:nvPicPr>
                  <pic:blipFill>
                    <a:blip r:embed="rId7"/>
                    <a:stretch>
                      <a:fillRect/>
                    </a:stretch>
                  </pic:blipFill>
                  <pic:spPr>
                    <a:xfrm>
                      <a:off x="0" y="0"/>
                      <a:ext cx="5595620" cy="3957320"/>
                    </a:xfrm>
                    <a:prstGeom prst="rect">
                      <a:avLst/>
                    </a:prstGeom>
                    <a:ln>
                      <a:solidFill>
                        <a:schemeClr val="tx1"/>
                      </a:solidFill>
                    </a:ln>
                  </pic:spPr>
                </pic:pic>
              </a:graphicData>
            </a:graphic>
          </wp:inline>
        </w:drawing>
      </w:r>
      <w:r>
        <w:rPr>
          <w:rFonts w:hint="eastAsia"/>
          <w:sz w:val="25"/>
          <w:lang w:eastAsia="zh-CN"/>
        </w:rPr>
        <w:drawing>
          <wp:inline distT="0" distB="0" distL="114300" distR="114300">
            <wp:extent cx="5608320" cy="4334510"/>
            <wp:effectExtent l="9525" t="9525" r="20955" b="18415"/>
            <wp:docPr id="6" name="图片 6" descr="中盎滨海分公司营业执照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中盎滨海分公司营业执照副本"/>
                    <pic:cNvPicPr>
                      <a:picLocks noChangeAspect="1"/>
                    </pic:cNvPicPr>
                  </pic:nvPicPr>
                  <pic:blipFill>
                    <a:blip r:embed="rId8"/>
                    <a:stretch>
                      <a:fillRect/>
                    </a:stretch>
                  </pic:blipFill>
                  <pic:spPr>
                    <a:xfrm>
                      <a:off x="0" y="0"/>
                      <a:ext cx="5608320" cy="4334510"/>
                    </a:xfrm>
                    <a:prstGeom prst="rect">
                      <a:avLst/>
                    </a:prstGeom>
                    <a:ln>
                      <a:solidFill>
                        <a:schemeClr val="tx1"/>
                      </a:solidFill>
                    </a:ln>
                  </pic:spPr>
                </pic:pic>
              </a:graphicData>
            </a:graphic>
          </wp:inline>
        </w:drawing>
      </w:r>
    </w:p>
    <w:p w14:paraId="351F52AF">
      <w:pPr>
        <w:pStyle w:val="3"/>
        <w:spacing w:before="1"/>
        <w:rPr>
          <w:rFonts w:hint="eastAsia"/>
          <w:sz w:val="25"/>
          <w:lang w:eastAsia="zh-CN"/>
        </w:rPr>
      </w:pPr>
    </w:p>
    <w:p w14:paraId="173FB41A">
      <w:pPr>
        <w:rPr>
          <w:rFonts w:hint="eastAsia"/>
          <w:sz w:val="25"/>
          <w:lang w:eastAsia="zh-CN"/>
        </w:rPr>
      </w:pPr>
      <w:r>
        <w:rPr>
          <w:rFonts w:hint="eastAsia"/>
          <w:sz w:val="25"/>
          <w:lang w:eastAsia="zh-CN"/>
        </w:rPr>
        <w:br w:type="page"/>
      </w:r>
    </w:p>
    <w:p w14:paraId="38CC8CC8">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color w:val="auto"/>
          <w:spacing w:val="0"/>
          <w:w w:val="100"/>
          <w:kern w:val="2"/>
          <w:lang w:val="en-US" w:eastAsia="zh-CN"/>
        </w:rPr>
      </w:pPr>
      <w:r>
        <w:rPr>
          <w:rFonts w:hint="eastAsia"/>
          <w:color w:val="auto"/>
          <w:spacing w:val="0"/>
          <w:w w:val="100"/>
          <w:kern w:val="2"/>
          <w:lang w:val="en-US" w:eastAsia="zh-CN"/>
        </w:rPr>
        <w:t>附件二：相关资质</w:t>
      </w:r>
    </w:p>
    <w:p w14:paraId="5CEA347C">
      <w:pPr>
        <w:pStyle w:val="3"/>
        <w:spacing w:before="1"/>
        <w:jc w:val="center"/>
        <w:rPr>
          <w:rFonts w:hint="eastAsia"/>
          <w:sz w:val="25"/>
          <w:lang w:eastAsia="zh-CN"/>
        </w:rPr>
      </w:pPr>
      <w:r>
        <w:rPr>
          <w:rFonts w:hint="eastAsia"/>
          <w:sz w:val="25"/>
          <w:lang w:eastAsia="zh-CN"/>
        </w:rPr>
        <w:drawing>
          <wp:inline distT="0" distB="0" distL="114300" distR="114300">
            <wp:extent cx="2680335" cy="3747135"/>
            <wp:effectExtent l="9525" t="9525" r="15240" b="15240"/>
            <wp:docPr id="7" name="图片 7" descr="2024-09-06 20:20:32.84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24-09-06 20:20:32.840000"/>
                    <pic:cNvPicPr>
                      <a:picLocks noChangeAspect="1"/>
                    </pic:cNvPicPr>
                  </pic:nvPicPr>
                  <pic:blipFill>
                    <a:blip r:embed="rId9"/>
                    <a:stretch>
                      <a:fillRect/>
                    </a:stretch>
                  </pic:blipFill>
                  <pic:spPr>
                    <a:xfrm>
                      <a:off x="0" y="0"/>
                      <a:ext cx="2680335" cy="3747135"/>
                    </a:xfrm>
                    <a:prstGeom prst="rect">
                      <a:avLst/>
                    </a:prstGeom>
                    <a:ln>
                      <a:solidFill>
                        <a:schemeClr val="tx1"/>
                      </a:solidFill>
                    </a:ln>
                  </pic:spPr>
                </pic:pic>
              </a:graphicData>
            </a:graphic>
          </wp:inline>
        </w:drawing>
      </w:r>
      <w:r>
        <w:rPr>
          <w:rFonts w:hint="eastAsia"/>
          <w:sz w:val="25"/>
          <w:lang w:eastAsia="zh-CN"/>
        </w:rPr>
        <w:drawing>
          <wp:inline distT="0" distB="0" distL="114300" distR="114300">
            <wp:extent cx="2699385" cy="3744595"/>
            <wp:effectExtent l="9525" t="9525" r="15240" b="17780"/>
            <wp:docPr id="8" name="图片 8" descr="2024-09-06 20:20:33.05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24-09-06 20:20:33.055000"/>
                    <pic:cNvPicPr>
                      <a:picLocks noChangeAspect="1"/>
                    </pic:cNvPicPr>
                  </pic:nvPicPr>
                  <pic:blipFill>
                    <a:blip r:embed="rId10"/>
                    <a:stretch>
                      <a:fillRect/>
                    </a:stretch>
                  </pic:blipFill>
                  <pic:spPr>
                    <a:xfrm>
                      <a:off x="0" y="0"/>
                      <a:ext cx="2699385" cy="3744595"/>
                    </a:xfrm>
                    <a:prstGeom prst="rect">
                      <a:avLst/>
                    </a:prstGeom>
                    <a:ln>
                      <a:solidFill>
                        <a:schemeClr val="tx1"/>
                      </a:solidFill>
                    </a:ln>
                  </pic:spPr>
                </pic:pic>
              </a:graphicData>
            </a:graphic>
          </wp:inline>
        </w:drawing>
      </w:r>
    </w:p>
    <w:p w14:paraId="528DEDD0">
      <w:pPr>
        <w:pStyle w:val="3"/>
        <w:spacing w:before="1"/>
        <w:rPr>
          <w:rFonts w:hint="eastAsia"/>
          <w:sz w:val="25"/>
          <w:lang w:eastAsia="zh-CN"/>
        </w:rPr>
      </w:pPr>
    </w:p>
    <w:p w14:paraId="13DBD2C2">
      <w:pPr>
        <w:rPr>
          <w:rFonts w:hint="eastAsia"/>
          <w:color w:val="auto"/>
          <w:spacing w:val="0"/>
          <w:w w:val="100"/>
          <w:kern w:val="2"/>
          <w:lang w:val="en-US" w:eastAsia="zh-CN"/>
        </w:rPr>
      </w:pPr>
      <w:r>
        <w:rPr>
          <w:rFonts w:hint="eastAsia"/>
          <w:color w:val="auto"/>
          <w:spacing w:val="0"/>
          <w:w w:val="100"/>
          <w:kern w:val="2"/>
          <w:lang w:val="en-US" w:eastAsia="zh-CN"/>
        </w:rPr>
        <w:br w:type="page"/>
      </w:r>
    </w:p>
    <w:p w14:paraId="01E656C1">
      <w:pPr>
        <w:pStyle w:val="3"/>
        <w:keepNext w:val="0"/>
        <w:keepLines w:val="0"/>
        <w:pageBreakBefore w:val="0"/>
        <w:widowControl w:val="0"/>
        <w:kinsoku/>
        <w:wordWrap w:val="0"/>
        <w:overflowPunct/>
        <w:topLinePunct w:val="0"/>
        <w:autoSpaceDE/>
        <w:autoSpaceDN/>
        <w:bidi w:val="0"/>
        <w:adjustRightInd/>
        <w:snapToGrid/>
        <w:spacing w:line="360" w:lineRule="auto"/>
        <w:ind w:left="0" w:right="0" w:firstLine="420" w:firstLineChars="200"/>
        <w:jc w:val="both"/>
        <w:textAlignment w:val="auto"/>
        <w:rPr>
          <w:rFonts w:hint="eastAsia"/>
          <w:color w:val="auto"/>
          <w:spacing w:val="0"/>
          <w:w w:val="100"/>
          <w:kern w:val="2"/>
          <w:lang w:val="en-US" w:eastAsia="zh-CN"/>
        </w:rPr>
      </w:pPr>
      <w:r>
        <w:rPr>
          <w:rFonts w:hint="eastAsia"/>
          <w:color w:val="auto"/>
          <w:spacing w:val="0"/>
          <w:w w:val="100"/>
          <w:kern w:val="2"/>
          <w:lang w:val="en-US" w:eastAsia="zh-CN"/>
        </w:rPr>
        <w:t>附件三：发改委备案信息</w:t>
      </w:r>
    </w:p>
    <w:p w14:paraId="2B50FD43">
      <w:pPr>
        <w:pStyle w:val="3"/>
        <w:spacing w:before="1"/>
        <w:jc w:val="both"/>
        <w:rPr>
          <w:rFonts w:hint="eastAsia"/>
          <w:sz w:val="25"/>
          <w:lang w:eastAsia="zh-CN"/>
        </w:rPr>
      </w:pPr>
      <w:r>
        <w:rPr>
          <w:rFonts w:hint="eastAsia"/>
          <w:sz w:val="25"/>
          <w:lang w:eastAsia="zh-CN"/>
        </w:rPr>
        <w:drawing>
          <wp:inline distT="0" distB="0" distL="114300" distR="114300">
            <wp:extent cx="5421630" cy="3084195"/>
            <wp:effectExtent l="9525" t="9525" r="17145" b="11430"/>
            <wp:docPr id="9" name="图片 9" descr="发改委备案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发改委备案信息"/>
                    <pic:cNvPicPr>
                      <a:picLocks noChangeAspect="1"/>
                    </pic:cNvPicPr>
                  </pic:nvPicPr>
                  <pic:blipFill>
                    <a:blip r:embed="rId11"/>
                    <a:stretch>
                      <a:fillRect/>
                    </a:stretch>
                  </pic:blipFill>
                  <pic:spPr>
                    <a:xfrm>
                      <a:off x="0" y="0"/>
                      <a:ext cx="5421630" cy="3084195"/>
                    </a:xfrm>
                    <a:prstGeom prst="rect">
                      <a:avLst/>
                    </a:prstGeom>
                    <a:ln>
                      <a:solidFill>
                        <a:schemeClr val="tx1"/>
                      </a:solidFill>
                    </a:ln>
                  </pic:spPr>
                </pic:pic>
              </a:graphicData>
            </a:graphic>
          </wp:inline>
        </w:drawing>
      </w:r>
    </w:p>
    <w:p w14:paraId="416366A8">
      <w:pPr>
        <w:rPr>
          <w:rFonts w:hint="eastAsia"/>
          <w:sz w:val="25"/>
          <w:lang w:eastAsia="zh-CN"/>
        </w:rPr>
      </w:pPr>
      <w:r>
        <w:rPr>
          <w:rFonts w:hint="eastAsia"/>
          <w:sz w:val="25"/>
          <w:lang w:eastAsia="zh-CN"/>
        </w:rPr>
        <w:br w:type="page"/>
      </w:r>
    </w:p>
    <w:p w14:paraId="5495C15E">
      <w:pPr>
        <w:pStyle w:val="3"/>
        <w:spacing w:before="1"/>
        <w:jc w:val="center"/>
        <w:rPr>
          <w:rFonts w:hint="default" w:ascii="新宋体" w:hAnsi="新宋体" w:eastAsia="新宋体" w:cs="新宋体"/>
          <w:b w:val="0"/>
          <w:bCs w:val="0"/>
          <w:sz w:val="21"/>
          <w:szCs w:val="22"/>
          <w:lang w:val="en-US" w:eastAsia="zh-CN" w:bidi="zh-CN"/>
        </w:rPr>
      </w:pPr>
      <w:r>
        <w:rPr>
          <w:rFonts w:hint="eastAsia" w:ascii="新宋体" w:hAnsi="新宋体" w:eastAsia="新宋体" w:cs="新宋体"/>
          <w:b w:val="0"/>
          <w:bCs w:val="0"/>
          <w:sz w:val="21"/>
          <w:szCs w:val="22"/>
          <w:lang w:val="en-US" w:eastAsia="zh-CN" w:bidi="zh-CN"/>
        </w:rPr>
        <w:t>签署页</w:t>
      </w:r>
    </w:p>
    <w:p w14:paraId="36D8D322">
      <w:pPr>
        <w:pStyle w:val="3"/>
        <w:spacing w:before="1"/>
        <w:rPr>
          <w:sz w:val="25"/>
        </w:rPr>
      </w:pPr>
      <w:r>
        <mc:AlternateContent>
          <mc:Choice Requires="wps">
            <w:drawing>
              <wp:anchor distT="0" distB="0" distL="114300" distR="114300" simplePos="0" relativeHeight="251661312" behindDoc="1" locked="0" layoutInCell="1" allowOverlap="1">
                <wp:simplePos x="0" y="0"/>
                <wp:positionH relativeFrom="page">
                  <wp:posOffset>3785870</wp:posOffset>
                </wp:positionH>
                <wp:positionV relativeFrom="paragraph">
                  <wp:posOffset>207010</wp:posOffset>
                </wp:positionV>
                <wp:extent cx="2806065" cy="1251585"/>
                <wp:effectExtent l="5080" t="4445" r="4445" b="5080"/>
                <wp:wrapTopAndBottom/>
                <wp:docPr id="3" name="文本框 3"/>
                <wp:cNvGraphicFramePr/>
                <a:graphic xmlns:a="http://schemas.openxmlformats.org/drawingml/2006/main">
                  <a:graphicData uri="http://schemas.microsoft.com/office/word/2010/wordprocessingShape">
                    <wps:wsp>
                      <wps:cNvSpPr txBox="1"/>
                      <wps:spPr>
                        <a:xfrm>
                          <a:off x="0" y="0"/>
                          <a:ext cx="2806065" cy="1251585"/>
                        </a:xfrm>
                        <a:prstGeom prst="rect">
                          <a:avLst/>
                        </a:prstGeom>
                        <a:noFill/>
                        <a:ln w="9525" cap="flat" cmpd="sng">
                          <a:solidFill>
                            <a:srgbClr val="000000"/>
                          </a:solidFill>
                          <a:prstDash val="solid"/>
                          <a:miter/>
                          <a:headEnd type="none" w="med" len="med"/>
                          <a:tailEnd type="none" w="med" len="med"/>
                        </a:ln>
                      </wps:spPr>
                      <wps:txbx>
                        <w:txbxContent>
                          <w:tbl>
                            <w:tblPr>
                              <w:tblStyle w:val="6"/>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27"/>
                            </w:tblGrid>
                            <w:tr w14:paraId="5075E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727" w:type="dxa"/>
                                </w:tcPr>
                                <w:p w14:paraId="74EB18E5">
                                  <w:pPr>
                                    <w:pStyle w:val="10"/>
                                    <w:spacing w:before="83"/>
                                    <w:ind w:left="85"/>
                                    <w:rPr>
                                      <w:rFonts w:hint="eastAsia"/>
                                      <w:sz w:val="21"/>
                                      <w:lang w:eastAsia="zh-CN"/>
                                    </w:rPr>
                                  </w:pPr>
                                  <w:r>
                                    <w:rPr>
                                      <w:sz w:val="21"/>
                                    </w:rPr>
                                    <w:t>乙方：</w:t>
                                  </w:r>
                                  <w:r>
                                    <w:rPr>
                                      <w:rFonts w:hint="eastAsia"/>
                                      <w:sz w:val="21"/>
                                      <w:lang w:eastAsia="zh-CN"/>
                                    </w:rPr>
                                    <w:t>中盎工程设计咨询有限公司天津滨海分</w:t>
                                  </w:r>
                                </w:p>
                                <w:p w14:paraId="549C4C15">
                                  <w:pPr>
                                    <w:pStyle w:val="10"/>
                                    <w:spacing w:before="83"/>
                                    <w:ind w:left="85"/>
                                    <w:rPr>
                                      <w:rFonts w:hint="eastAsia" w:eastAsia="新宋体"/>
                                      <w:sz w:val="21"/>
                                      <w:lang w:eastAsia="zh-CN"/>
                                    </w:rPr>
                                  </w:pPr>
                                  <w:r>
                                    <w:rPr>
                                      <w:rFonts w:hint="eastAsia"/>
                                      <w:sz w:val="21"/>
                                      <w:lang w:eastAsia="zh-CN"/>
                                    </w:rPr>
                                    <w:t>公司</w:t>
                                  </w:r>
                                </w:p>
                              </w:tc>
                            </w:tr>
                            <w:tr w14:paraId="3A2B0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4727" w:type="dxa"/>
                                </w:tcPr>
                                <w:p w14:paraId="30DDF378">
                                  <w:pPr>
                                    <w:pStyle w:val="10"/>
                                    <w:spacing w:before="60"/>
                                    <w:ind w:left="85"/>
                                    <w:rPr>
                                      <w:sz w:val="21"/>
                                    </w:rPr>
                                  </w:pPr>
                                  <w:r>
                                    <w:rPr>
                                      <w:sz w:val="21"/>
                                    </w:rPr>
                                    <w:t>（签章）</w:t>
                                  </w:r>
                                </w:p>
                              </w:tc>
                            </w:tr>
                            <w:tr w14:paraId="5B43C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4727" w:type="dxa"/>
                                </w:tcPr>
                                <w:p w14:paraId="505BD0F1">
                                  <w:pPr>
                                    <w:pStyle w:val="10"/>
                                    <w:spacing w:before="74"/>
                                    <w:ind w:left="85"/>
                                    <w:rPr>
                                      <w:rFonts w:hint="default" w:eastAsia="新宋体"/>
                                      <w:sz w:val="21"/>
                                      <w:lang w:val="en-US" w:eastAsia="zh-CN"/>
                                    </w:rPr>
                                  </w:pPr>
                                  <w:r>
                                    <w:rPr>
                                      <w:rFonts w:hint="eastAsia"/>
                                      <w:sz w:val="21"/>
                                      <w:lang w:eastAsia="zh-CN"/>
                                    </w:rPr>
                                    <w:t>联系人</w:t>
                                  </w:r>
                                  <w:r>
                                    <w:rPr>
                                      <w:sz w:val="21"/>
                                    </w:rPr>
                                    <w:t>：</w:t>
                                  </w:r>
                                  <w:r>
                                    <w:rPr>
                                      <w:rFonts w:hint="eastAsia"/>
                                      <w:sz w:val="21"/>
                                      <w:lang w:val="en-US" w:eastAsia="zh-CN"/>
                                    </w:rPr>
                                    <w:t>侯仰杰</w:t>
                                  </w:r>
                                </w:p>
                              </w:tc>
                            </w:tr>
                            <w:tr w14:paraId="7C817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727" w:type="dxa"/>
                                </w:tcPr>
                                <w:p w14:paraId="7CDD9043">
                                  <w:pPr>
                                    <w:pStyle w:val="10"/>
                                    <w:spacing w:before="100"/>
                                    <w:ind w:left="85"/>
                                    <w:rPr>
                                      <w:rFonts w:hint="default" w:eastAsia="新宋体"/>
                                      <w:sz w:val="21"/>
                                      <w:lang w:val="en-US" w:eastAsia="zh-CN"/>
                                    </w:rPr>
                                  </w:pPr>
                                  <w:r>
                                    <w:rPr>
                                      <w:sz w:val="21"/>
                                    </w:rPr>
                                    <w:t>日期：</w:t>
                                  </w:r>
                                  <w:r>
                                    <w:rPr>
                                      <w:rFonts w:hint="eastAsia"/>
                                      <w:sz w:val="21"/>
                                      <w:lang w:val="en-US" w:eastAsia="zh-CN"/>
                                    </w:rPr>
                                    <w:t>2024年9月7日</w:t>
                                  </w:r>
                                </w:p>
                              </w:tc>
                            </w:tr>
                            <w:tr w14:paraId="28D5F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727" w:type="dxa"/>
                                </w:tcPr>
                                <w:p w14:paraId="6788A680">
                                  <w:pPr>
                                    <w:pStyle w:val="10"/>
                                    <w:spacing w:before="100"/>
                                    <w:ind w:left="85"/>
                                    <w:rPr>
                                      <w:sz w:val="21"/>
                                    </w:rPr>
                                  </w:pPr>
                                </w:p>
                              </w:tc>
                            </w:tr>
                          </w:tbl>
                          <w:p w14:paraId="4902D0A6">
                            <w:pPr>
                              <w:pStyle w:val="3"/>
                            </w:pPr>
                          </w:p>
                        </w:txbxContent>
                      </wps:txbx>
                      <wps:bodyPr lIns="0" tIns="0" rIns="0" bIns="0" upright="1"/>
                    </wps:wsp>
                  </a:graphicData>
                </a:graphic>
              </wp:anchor>
            </w:drawing>
          </mc:Choice>
          <mc:Fallback>
            <w:pict>
              <v:shape id="_x0000_s1026" o:spid="_x0000_s1026" o:spt="202" type="#_x0000_t202" style="position:absolute;left:0pt;margin-left:298.1pt;margin-top:16.3pt;height:98.55pt;width:220.95pt;mso-position-horizontal-relative:page;mso-wrap-distance-bottom:0pt;mso-wrap-distance-top:0pt;z-index:-251655168;mso-width-relative:page;mso-height-relative:page;" filled="f" stroked="t" coordsize="21600,21600" o:gfxdata="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NOQNodsAAAALAQAADwAA&#10;AAAAAAABACAAAAAiAAAAZHJzL2Rvd25yZXYueG1sUEsBAhQAFAAAAAgAh07iQEAPDhoTAgAAMgQA&#10;AA4AAAAAAAAAAQAgAAAAKgEAAGRycy9lMm9Eb2MueG1sUEsFBgAAAAAGAAYAWQEAAK8FAAAAAA==&#10;">
                <v:fill on="f" focussize="0,0"/>
                <v:stroke color="#000000" joinstyle="miter"/>
                <v:imagedata o:title=""/>
                <o:lock v:ext="edit" aspectratio="f"/>
                <v:textbox inset="0mm,0mm,0mm,0mm">
                  <w:txbxContent>
                    <w:tbl>
                      <w:tblPr>
                        <w:tblStyle w:val="6"/>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27"/>
                      </w:tblGrid>
                      <w:tr w14:paraId="5075E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727" w:type="dxa"/>
                          </w:tcPr>
                          <w:p w14:paraId="74EB18E5">
                            <w:pPr>
                              <w:pStyle w:val="10"/>
                              <w:spacing w:before="83"/>
                              <w:ind w:left="85"/>
                              <w:rPr>
                                <w:rFonts w:hint="eastAsia"/>
                                <w:sz w:val="21"/>
                                <w:lang w:eastAsia="zh-CN"/>
                              </w:rPr>
                            </w:pPr>
                            <w:r>
                              <w:rPr>
                                <w:sz w:val="21"/>
                              </w:rPr>
                              <w:t>乙方：</w:t>
                            </w:r>
                            <w:r>
                              <w:rPr>
                                <w:rFonts w:hint="eastAsia"/>
                                <w:sz w:val="21"/>
                                <w:lang w:eastAsia="zh-CN"/>
                              </w:rPr>
                              <w:t>中盎工程设计咨询有限公司天津滨海分</w:t>
                            </w:r>
                          </w:p>
                          <w:p w14:paraId="549C4C15">
                            <w:pPr>
                              <w:pStyle w:val="10"/>
                              <w:spacing w:before="83"/>
                              <w:ind w:left="85"/>
                              <w:rPr>
                                <w:rFonts w:hint="eastAsia" w:eastAsia="新宋体"/>
                                <w:sz w:val="21"/>
                                <w:lang w:eastAsia="zh-CN"/>
                              </w:rPr>
                            </w:pPr>
                            <w:r>
                              <w:rPr>
                                <w:rFonts w:hint="eastAsia"/>
                                <w:sz w:val="21"/>
                                <w:lang w:eastAsia="zh-CN"/>
                              </w:rPr>
                              <w:t>公司</w:t>
                            </w:r>
                          </w:p>
                        </w:tc>
                      </w:tr>
                      <w:tr w14:paraId="3A2B0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4727" w:type="dxa"/>
                          </w:tcPr>
                          <w:p w14:paraId="30DDF378">
                            <w:pPr>
                              <w:pStyle w:val="10"/>
                              <w:spacing w:before="60"/>
                              <w:ind w:left="85"/>
                              <w:rPr>
                                <w:sz w:val="21"/>
                              </w:rPr>
                            </w:pPr>
                            <w:r>
                              <w:rPr>
                                <w:sz w:val="21"/>
                              </w:rPr>
                              <w:t>（签章）</w:t>
                            </w:r>
                          </w:p>
                        </w:tc>
                      </w:tr>
                      <w:tr w14:paraId="5B43C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4727" w:type="dxa"/>
                          </w:tcPr>
                          <w:p w14:paraId="505BD0F1">
                            <w:pPr>
                              <w:pStyle w:val="10"/>
                              <w:spacing w:before="74"/>
                              <w:ind w:left="85"/>
                              <w:rPr>
                                <w:rFonts w:hint="default" w:eastAsia="新宋体"/>
                                <w:sz w:val="21"/>
                                <w:lang w:val="en-US" w:eastAsia="zh-CN"/>
                              </w:rPr>
                            </w:pPr>
                            <w:r>
                              <w:rPr>
                                <w:rFonts w:hint="eastAsia"/>
                                <w:sz w:val="21"/>
                                <w:lang w:eastAsia="zh-CN"/>
                              </w:rPr>
                              <w:t>联系人</w:t>
                            </w:r>
                            <w:r>
                              <w:rPr>
                                <w:sz w:val="21"/>
                              </w:rPr>
                              <w:t>：</w:t>
                            </w:r>
                            <w:r>
                              <w:rPr>
                                <w:rFonts w:hint="eastAsia"/>
                                <w:sz w:val="21"/>
                                <w:lang w:val="en-US" w:eastAsia="zh-CN"/>
                              </w:rPr>
                              <w:t>侯仰杰</w:t>
                            </w:r>
                          </w:p>
                        </w:tc>
                      </w:tr>
                      <w:tr w14:paraId="7C817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727" w:type="dxa"/>
                          </w:tcPr>
                          <w:p w14:paraId="7CDD9043">
                            <w:pPr>
                              <w:pStyle w:val="10"/>
                              <w:spacing w:before="100"/>
                              <w:ind w:left="85"/>
                              <w:rPr>
                                <w:rFonts w:hint="default" w:eastAsia="新宋体"/>
                                <w:sz w:val="21"/>
                                <w:lang w:val="en-US" w:eastAsia="zh-CN"/>
                              </w:rPr>
                            </w:pPr>
                            <w:r>
                              <w:rPr>
                                <w:sz w:val="21"/>
                              </w:rPr>
                              <w:t>日期：</w:t>
                            </w:r>
                            <w:r>
                              <w:rPr>
                                <w:rFonts w:hint="eastAsia"/>
                                <w:sz w:val="21"/>
                                <w:lang w:val="en-US" w:eastAsia="zh-CN"/>
                              </w:rPr>
                              <w:t>2024年9月7日</w:t>
                            </w:r>
                          </w:p>
                        </w:tc>
                      </w:tr>
                      <w:tr w14:paraId="28D5F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727" w:type="dxa"/>
                          </w:tcPr>
                          <w:p w14:paraId="6788A680">
                            <w:pPr>
                              <w:pStyle w:val="10"/>
                              <w:spacing w:before="100"/>
                              <w:ind w:left="85"/>
                              <w:rPr>
                                <w:sz w:val="21"/>
                              </w:rPr>
                            </w:pPr>
                          </w:p>
                        </w:tc>
                      </w:tr>
                    </w:tbl>
                    <w:p w14:paraId="4902D0A6">
                      <w:pPr>
                        <w:pStyle w:val="3"/>
                      </w:pPr>
                    </w:p>
                  </w:txbxContent>
                </v:textbox>
                <w10:wrap type="topAndBottom"/>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1004570</wp:posOffset>
                </wp:positionH>
                <wp:positionV relativeFrom="paragraph">
                  <wp:posOffset>210185</wp:posOffset>
                </wp:positionV>
                <wp:extent cx="2618740" cy="1252855"/>
                <wp:effectExtent l="4445" t="4445" r="5715" b="7620"/>
                <wp:wrapTopAndBottom/>
                <wp:docPr id="2" name="文本框 2"/>
                <wp:cNvGraphicFramePr/>
                <a:graphic xmlns:a="http://schemas.openxmlformats.org/drawingml/2006/main">
                  <a:graphicData uri="http://schemas.microsoft.com/office/word/2010/wordprocessingShape">
                    <wps:wsp>
                      <wps:cNvSpPr txBox="1"/>
                      <wps:spPr>
                        <a:xfrm>
                          <a:off x="0" y="0"/>
                          <a:ext cx="2618740" cy="1252855"/>
                        </a:xfrm>
                        <a:prstGeom prst="rect">
                          <a:avLst/>
                        </a:prstGeom>
                        <a:noFill/>
                        <a:ln w="9525" cap="flat" cmpd="sng">
                          <a:solidFill>
                            <a:srgbClr val="000000"/>
                          </a:solidFill>
                          <a:prstDash val="solid"/>
                          <a:miter/>
                          <a:headEnd type="none" w="med" len="med"/>
                          <a:tailEnd type="none" w="med" len="med"/>
                        </a:ln>
                      </wps:spPr>
                      <wps:txbx>
                        <w:txbxContent>
                          <w:tbl>
                            <w:tblPr>
                              <w:tblStyle w:val="6"/>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9"/>
                            </w:tblGrid>
                            <w:tr w14:paraId="70004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109" w:type="dxa"/>
                                </w:tcPr>
                                <w:p w14:paraId="29182863">
                                  <w:pPr>
                                    <w:pStyle w:val="10"/>
                                    <w:spacing w:before="103"/>
                                    <w:rPr>
                                      <w:sz w:val="21"/>
                                    </w:rPr>
                                  </w:pPr>
                                  <w:r>
                                    <w:rPr>
                                      <w:sz w:val="21"/>
                                    </w:rPr>
                                    <w:t>甲方：</w:t>
                                  </w:r>
                                  <w:r>
                                    <w:rPr>
                                      <w:rFonts w:hint="eastAsia"/>
                                      <w:b w:val="0"/>
                                      <w:bCs w:val="0"/>
                                      <w:sz w:val="21"/>
                                      <w:lang w:eastAsia="zh-CN"/>
                                    </w:rPr>
                                    <w:t>新疆通力房地产开发有限公司库尔勒二分公司</w:t>
                                  </w:r>
                                </w:p>
                              </w:tc>
                            </w:tr>
                            <w:tr w14:paraId="689CC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4109" w:type="dxa"/>
                                </w:tcPr>
                                <w:p w14:paraId="346A9E5F">
                                  <w:pPr>
                                    <w:pStyle w:val="10"/>
                                    <w:spacing w:before="60"/>
                                    <w:rPr>
                                      <w:sz w:val="21"/>
                                    </w:rPr>
                                  </w:pPr>
                                  <w:r>
                                    <w:rPr>
                                      <w:sz w:val="21"/>
                                    </w:rPr>
                                    <w:t>（签章）</w:t>
                                  </w:r>
                                </w:p>
                              </w:tc>
                            </w:tr>
                            <w:tr w14:paraId="1E6F3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4109" w:type="dxa"/>
                                </w:tcPr>
                                <w:p w14:paraId="2E248B90">
                                  <w:pPr>
                                    <w:pStyle w:val="10"/>
                                    <w:spacing w:before="59"/>
                                    <w:rPr>
                                      <w:rFonts w:hint="eastAsia" w:eastAsia="新宋体"/>
                                      <w:sz w:val="21"/>
                                      <w:lang w:eastAsia="zh-CN"/>
                                    </w:rPr>
                                  </w:pPr>
                                  <w:r>
                                    <w:rPr>
                                      <w:rFonts w:hint="eastAsia"/>
                                      <w:sz w:val="21"/>
                                      <w:lang w:eastAsia="zh-CN"/>
                                    </w:rPr>
                                    <w:t>联系人</w:t>
                                  </w:r>
                                  <w:r>
                                    <w:rPr>
                                      <w:sz w:val="21"/>
                                    </w:rPr>
                                    <w:t>：</w:t>
                                  </w:r>
                                  <w:r>
                                    <w:rPr>
                                      <w:rFonts w:hint="eastAsia"/>
                                      <w:sz w:val="21"/>
                                    </w:rPr>
                                    <w:t>欧振华</w:t>
                                  </w:r>
                                </w:p>
                              </w:tc>
                            </w:tr>
                            <w:tr w14:paraId="579A4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109" w:type="dxa"/>
                                </w:tcPr>
                                <w:p w14:paraId="55E855D9">
                                  <w:pPr>
                                    <w:pStyle w:val="10"/>
                                    <w:spacing w:before="61"/>
                                    <w:rPr>
                                      <w:sz w:val="21"/>
                                    </w:rPr>
                                  </w:pPr>
                                  <w:r>
                                    <w:rPr>
                                      <w:sz w:val="21"/>
                                    </w:rPr>
                                    <w:t>日期：</w:t>
                                  </w:r>
                                  <w:r>
                                    <w:rPr>
                                      <w:rFonts w:hint="eastAsia"/>
                                      <w:sz w:val="21"/>
                                      <w:lang w:val="en-US" w:eastAsia="zh-CN"/>
                                    </w:rPr>
                                    <w:t>2024年9月7日</w:t>
                                  </w:r>
                                </w:p>
                              </w:tc>
                            </w:tr>
                            <w:tr w14:paraId="4A4C5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109" w:type="dxa"/>
                                </w:tcPr>
                                <w:p w14:paraId="38EEAE28">
                                  <w:pPr>
                                    <w:pStyle w:val="10"/>
                                    <w:spacing w:before="61"/>
                                    <w:rPr>
                                      <w:sz w:val="21"/>
                                    </w:rPr>
                                  </w:pPr>
                                </w:p>
                              </w:tc>
                            </w:tr>
                          </w:tbl>
                          <w:p w14:paraId="488DF678">
                            <w:pPr>
                              <w:pStyle w:val="3"/>
                            </w:pPr>
                          </w:p>
                        </w:txbxContent>
                      </wps:txbx>
                      <wps:bodyPr lIns="0" tIns="0" rIns="0" bIns="0" upright="1"/>
                    </wps:wsp>
                  </a:graphicData>
                </a:graphic>
              </wp:anchor>
            </w:drawing>
          </mc:Choice>
          <mc:Fallback>
            <w:pict>
              <v:shape id="_x0000_s1026" o:spid="_x0000_s1026" o:spt="202" type="#_x0000_t202" style="position:absolute;left:0pt;margin-left:79.1pt;margin-top:16.55pt;height:98.65pt;width:206.2pt;mso-position-horizontal-relative:page;mso-wrap-distance-bottom:0pt;mso-wrap-distance-top:0pt;z-index:-251656192;mso-width-relative:page;mso-height-relative:page;" filled="f" stroked="t" coordsize="21600,21600" o:gfxdata="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NqG3zaAAAACgEAAA8AAAAA&#10;AAAAAQAgAAAAIgAAAGRycy9kb3ducmV2LnhtbFBLAQIUABQAAAAIAIdO4kAZ15afEgIAADIEAAAO&#10;AAAAAAAAAAEAIAAAACkBAABkcnMvZTJvRG9jLnhtbFBLBQYAAAAABgAGAFkBAACtBQAAAAA=&#10;">
                <v:fill on="f" focussize="0,0"/>
                <v:stroke color="#000000" joinstyle="miter"/>
                <v:imagedata o:title=""/>
                <o:lock v:ext="edit" aspectratio="f"/>
                <v:textbox inset="0mm,0mm,0mm,0mm">
                  <w:txbxContent>
                    <w:tbl>
                      <w:tblPr>
                        <w:tblStyle w:val="6"/>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09"/>
                      </w:tblGrid>
                      <w:tr w14:paraId="70004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4109" w:type="dxa"/>
                          </w:tcPr>
                          <w:p w14:paraId="29182863">
                            <w:pPr>
                              <w:pStyle w:val="10"/>
                              <w:spacing w:before="103"/>
                              <w:rPr>
                                <w:sz w:val="21"/>
                              </w:rPr>
                            </w:pPr>
                            <w:r>
                              <w:rPr>
                                <w:sz w:val="21"/>
                              </w:rPr>
                              <w:t>甲方：</w:t>
                            </w:r>
                            <w:r>
                              <w:rPr>
                                <w:rFonts w:hint="eastAsia"/>
                                <w:b w:val="0"/>
                                <w:bCs w:val="0"/>
                                <w:sz w:val="21"/>
                                <w:lang w:eastAsia="zh-CN"/>
                              </w:rPr>
                              <w:t>新疆通力房地产开发有限公司库尔勒二分公司</w:t>
                            </w:r>
                          </w:p>
                        </w:tc>
                      </w:tr>
                      <w:tr w14:paraId="689CC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4109" w:type="dxa"/>
                          </w:tcPr>
                          <w:p w14:paraId="346A9E5F">
                            <w:pPr>
                              <w:pStyle w:val="10"/>
                              <w:spacing w:before="60"/>
                              <w:rPr>
                                <w:sz w:val="21"/>
                              </w:rPr>
                            </w:pPr>
                            <w:r>
                              <w:rPr>
                                <w:sz w:val="21"/>
                              </w:rPr>
                              <w:t>（签章）</w:t>
                            </w:r>
                          </w:p>
                        </w:tc>
                      </w:tr>
                      <w:tr w14:paraId="1E6F3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4109" w:type="dxa"/>
                          </w:tcPr>
                          <w:p w14:paraId="2E248B90">
                            <w:pPr>
                              <w:pStyle w:val="10"/>
                              <w:spacing w:before="59"/>
                              <w:rPr>
                                <w:rFonts w:hint="eastAsia" w:eastAsia="新宋体"/>
                                <w:sz w:val="21"/>
                                <w:lang w:eastAsia="zh-CN"/>
                              </w:rPr>
                            </w:pPr>
                            <w:r>
                              <w:rPr>
                                <w:rFonts w:hint="eastAsia"/>
                                <w:sz w:val="21"/>
                                <w:lang w:eastAsia="zh-CN"/>
                              </w:rPr>
                              <w:t>联系人</w:t>
                            </w:r>
                            <w:r>
                              <w:rPr>
                                <w:sz w:val="21"/>
                              </w:rPr>
                              <w:t>：</w:t>
                            </w:r>
                            <w:r>
                              <w:rPr>
                                <w:rFonts w:hint="eastAsia"/>
                                <w:sz w:val="21"/>
                              </w:rPr>
                              <w:t>欧振华</w:t>
                            </w:r>
                          </w:p>
                        </w:tc>
                      </w:tr>
                      <w:tr w14:paraId="579A4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109" w:type="dxa"/>
                          </w:tcPr>
                          <w:p w14:paraId="55E855D9">
                            <w:pPr>
                              <w:pStyle w:val="10"/>
                              <w:spacing w:before="61"/>
                              <w:rPr>
                                <w:sz w:val="21"/>
                              </w:rPr>
                            </w:pPr>
                            <w:r>
                              <w:rPr>
                                <w:sz w:val="21"/>
                              </w:rPr>
                              <w:t>日期：</w:t>
                            </w:r>
                            <w:r>
                              <w:rPr>
                                <w:rFonts w:hint="eastAsia"/>
                                <w:sz w:val="21"/>
                                <w:lang w:val="en-US" w:eastAsia="zh-CN"/>
                              </w:rPr>
                              <w:t>2024年9月7日</w:t>
                            </w:r>
                          </w:p>
                        </w:tc>
                      </w:tr>
                      <w:tr w14:paraId="4A4C5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4109" w:type="dxa"/>
                          </w:tcPr>
                          <w:p w14:paraId="38EEAE28">
                            <w:pPr>
                              <w:pStyle w:val="10"/>
                              <w:spacing w:before="61"/>
                              <w:rPr>
                                <w:sz w:val="21"/>
                              </w:rPr>
                            </w:pPr>
                          </w:p>
                        </w:tc>
                      </w:tr>
                    </w:tbl>
                    <w:p w14:paraId="488DF678">
                      <w:pPr>
                        <w:pStyle w:val="3"/>
                      </w:pPr>
                    </w:p>
                  </w:txbxContent>
                </v:textbox>
                <w10:wrap type="topAndBottom"/>
              </v:shape>
            </w:pict>
          </mc:Fallback>
        </mc:AlternateContent>
      </w:r>
    </w:p>
    <w:sectPr>
      <w:headerReference r:id="rId3" w:type="default"/>
      <w:footerReference r:id="rId4" w:type="default"/>
      <w:pgSz w:w="11910" w:h="16840"/>
      <w:pgMar w:top="1440" w:right="1803" w:bottom="1440" w:left="1803" w:header="850"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F5FE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86C7331">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586C7331">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BDBAB">
    <w:pPr>
      <w:pStyle w:val="5"/>
      <w:pBdr>
        <w:bottom w:val="none" w:color="auto" w:sz="0" w:space="1"/>
      </w:pBdr>
      <w:jc w:val="center"/>
    </w:pPr>
    <w:r>
      <w:rPr>
        <w:rFonts w:hint="eastAsia"/>
        <w:lang w:val="en-US" w:eastAsia="zh-CN"/>
      </w:rPr>
      <w:t xml:space="preserve">                                              合同编号：</w:t>
    </w:r>
    <w:permStart w:id="0" w:edGrp="everyone"/>
    <w:r>
      <w:rPr>
        <w:rFonts w:hint="eastAsia"/>
        <w:lang w:val="en-US" w:eastAsia="zh-CN"/>
      </w:rPr>
      <w:t>TLFC(K2)-20240910-001</w:t>
    </w:r>
    <w:permEnd w:id="0"/>
  </w:p>
  <w:p w14:paraId="05FD1EE6">
    <w:pPr>
      <w:pStyle w:val="3"/>
      <w:pBdr>
        <w:bottom w:val="none" w:color="auto" w:sz="0" w:space="0"/>
      </w:pBd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DA5FE"/>
    <w:multiLevelType w:val="singleLevel"/>
    <w:tmpl w:val="CC7DA5FE"/>
    <w:lvl w:ilvl="0" w:tentative="0">
      <w:start w:val="1"/>
      <w:numFmt w:val="chineseCounting"/>
      <w:suff w:val="nothing"/>
      <w:lvlText w:val="%1、"/>
      <w:lvlJc w:val="left"/>
      <w:rPr>
        <w:rFonts w:hint="eastAsia"/>
      </w:rPr>
    </w:lvl>
  </w:abstractNum>
  <w:abstractNum w:abstractNumId="1">
    <w:nsid w:val="0053208E"/>
    <w:multiLevelType w:val="multilevel"/>
    <w:tmpl w:val="0053208E"/>
    <w:lvl w:ilvl="0" w:tentative="0">
      <w:start w:val="0"/>
      <w:numFmt w:val="bullet"/>
      <w:lvlText w:val=""/>
      <w:lvlJc w:val="left"/>
      <w:pPr>
        <w:ind w:left="660" w:hanging="420"/>
      </w:pPr>
      <w:rPr>
        <w:rFonts w:hint="default" w:ascii="Wingdings" w:hAnsi="Wingdings" w:eastAsia="Wingdings" w:cs="Wingdings"/>
        <w:w w:val="99"/>
        <w:sz w:val="21"/>
        <w:szCs w:val="21"/>
        <w:lang w:val="zh-CN" w:eastAsia="zh-CN" w:bidi="zh-CN"/>
      </w:rPr>
    </w:lvl>
    <w:lvl w:ilvl="1" w:tentative="0">
      <w:start w:val="0"/>
      <w:numFmt w:val="bullet"/>
      <w:lvlText w:val="•"/>
      <w:lvlJc w:val="left"/>
      <w:pPr>
        <w:ind w:left="1628" w:hanging="420"/>
      </w:pPr>
      <w:rPr>
        <w:rFonts w:hint="default"/>
        <w:lang w:val="zh-CN" w:eastAsia="zh-CN" w:bidi="zh-CN"/>
      </w:rPr>
    </w:lvl>
    <w:lvl w:ilvl="2" w:tentative="0">
      <w:start w:val="0"/>
      <w:numFmt w:val="bullet"/>
      <w:lvlText w:val="•"/>
      <w:lvlJc w:val="left"/>
      <w:pPr>
        <w:ind w:left="2597" w:hanging="420"/>
      </w:pPr>
      <w:rPr>
        <w:rFonts w:hint="default"/>
        <w:lang w:val="zh-CN" w:eastAsia="zh-CN" w:bidi="zh-CN"/>
      </w:rPr>
    </w:lvl>
    <w:lvl w:ilvl="3" w:tentative="0">
      <w:start w:val="0"/>
      <w:numFmt w:val="bullet"/>
      <w:lvlText w:val="•"/>
      <w:lvlJc w:val="left"/>
      <w:pPr>
        <w:ind w:left="3565" w:hanging="420"/>
      </w:pPr>
      <w:rPr>
        <w:rFonts w:hint="default"/>
        <w:lang w:val="zh-CN" w:eastAsia="zh-CN" w:bidi="zh-CN"/>
      </w:rPr>
    </w:lvl>
    <w:lvl w:ilvl="4" w:tentative="0">
      <w:start w:val="0"/>
      <w:numFmt w:val="bullet"/>
      <w:lvlText w:val="•"/>
      <w:lvlJc w:val="left"/>
      <w:pPr>
        <w:ind w:left="4534" w:hanging="420"/>
      </w:pPr>
      <w:rPr>
        <w:rFonts w:hint="default"/>
        <w:lang w:val="zh-CN" w:eastAsia="zh-CN" w:bidi="zh-CN"/>
      </w:rPr>
    </w:lvl>
    <w:lvl w:ilvl="5" w:tentative="0">
      <w:start w:val="0"/>
      <w:numFmt w:val="bullet"/>
      <w:lvlText w:val="•"/>
      <w:lvlJc w:val="left"/>
      <w:pPr>
        <w:ind w:left="5503" w:hanging="420"/>
      </w:pPr>
      <w:rPr>
        <w:rFonts w:hint="default"/>
        <w:lang w:val="zh-CN" w:eastAsia="zh-CN" w:bidi="zh-CN"/>
      </w:rPr>
    </w:lvl>
    <w:lvl w:ilvl="6" w:tentative="0">
      <w:start w:val="0"/>
      <w:numFmt w:val="bullet"/>
      <w:lvlText w:val="•"/>
      <w:lvlJc w:val="left"/>
      <w:pPr>
        <w:ind w:left="6471" w:hanging="420"/>
      </w:pPr>
      <w:rPr>
        <w:rFonts w:hint="default"/>
        <w:lang w:val="zh-CN" w:eastAsia="zh-CN" w:bidi="zh-CN"/>
      </w:rPr>
    </w:lvl>
    <w:lvl w:ilvl="7" w:tentative="0">
      <w:start w:val="0"/>
      <w:numFmt w:val="bullet"/>
      <w:lvlText w:val="•"/>
      <w:lvlJc w:val="left"/>
      <w:pPr>
        <w:ind w:left="7440" w:hanging="420"/>
      </w:pPr>
      <w:rPr>
        <w:rFonts w:hint="default"/>
        <w:lang w:val="zh-CN" w:eastAsia="zh-CN" w:bidi="zh-CN"/>
      </w:rPr>
    </w:lvl>
    <w:lvl w:ilvl="8" w:tentative="0">
      <w:start w:val="0"/>
      <w:numFmt w:val="bullet"/>
      <w:lvlText w:val="•"/>
      <w:lvlJc w:val="left"/>
      <w:pPr>
        <w:ind w:left="8408" w:hanging="420"/>
      </w:pPr>
      <w:rPr>
        <w:rFonts w:hint="default"/>
        <w:lang w:val="zh-CN" w:eastAsia="zh-CN" w:bidi="zh-C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s>
  <w:rsids>
    <w:rsidRoot w:val="00000000"/>
    <w:rsid w:val="018467E3"/>
    <w:rsid w:val="02265CFB"/>
    <w:rsid w:val="323C5939"/>
    <w:rsid w:val="367234B0"/>
    <w:rsid w:val="3B002345"/>
    <w:rsid w:val="40870D2A"/>
    <w:rsid w:val="47751648"/>
    <w:rsid w:val="497213D0"/>
    <w:rsid w:val="6E2C46E8"/>
    <w:rsid w:val="71A21ECF"/>
    <w:rsid w:val="78E42151"/>
    <w:rsid w:val="7999541C"/>
    <w:rsid w:val="7AF22A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新宋体" w:hAnsi="新宋体" w:eastAsia="新宋体" w:cs="新宋体"/>
      <w:sz w:val="22"/>
      <w:szCs w:val="22"/>
      <w:lang w:val="zh-CN" w:eastAsia="zh-CN" w:bidi="zh-CN"/>
    </w:rPr>
  </w:style>
  <w:style w:type="paragraph" w:styleId="2">
    <w:name w:val="heading 1"/>
    <w:basedOn w:val="1"/>
    <w:next w:val="1"/>
    <w:qFormat/>
    <w:uiPriority w:val="1"/>
    <w:pPr>
      <w:ind w:left="243"/>
      <w:outlineLvl w:val="0"/>
    </w:pPr>
    <w:rPr>
      <w:b/>
      <w:bCs/>
      <w:sz w:val="21"/>
      <w:szCs w:val="21"/>
    </w:rPr>
  </w:style>
  <w:style w:type="character" w:default="1" w:styleId="7">
    <w:name w:val="Default Paragraph Font"/>
    <w:unhideWhenUsed/>
    <w:qFormat/>
    <w:uiPriority w:val="1"/>
  </w:style>
  <w:style w:type="table" w:default="1" w:styleId="6">
    <w:name w:val="Normal Table"/>
    <w:autoRedefine/>
    <w:unhideWhenUsed/>
    <w:qFormat/>
    <w:uiPriority w:val="99"/>
    <w:tblPr>
      <w:tblCellMar>
        <w:top w:w="0" w:type="dxa"/>
        <w:left w:w="108" w:type="dxa"/>
        <w:bottom w:w="0" w:type="dxa"/>
        <w:right w:w="108" w:type="dxa"/>
      </w:tblCellMar>
    </w:tblPr>
  </w:style>
  <w:style w:type="paragraph" w:styleId="3">
    <w:name w:val="Body Text"/>
    <w:basedOn w:val="1"/>
    <w:autoRedefine/>
    <w:qFormat/>
    <w:uiPriority w:val="1"/>
    <w:rPr>
      <w:sz w:val="21"/>
      <w:szCs w:val="21"/>
    </w:rPr>
  </w:style>
  <w:style w:type="paragraph" w:styleId="4">
    <w:name w:val="footer"/>
    <w:basedOn w:val="1"/>
    <w:link w:val="12"/>
    <w:autoRedefine/>
    <w:qFormat/>
    <w:uiPriority w:val="0"/>
    <w:pPr>
      <w:tabs>
        <w:tab w:val="center" w:pos="4153"/>
        <w:tab w:val="right" w:pos="8306"/>
      </w:tabs>
      <w:snapToGrid w:val="0"/>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customStyle="1" w:styleId="8">
    <w:name w:val="Table Normal"/>
    <w:autoRedefine/>
    <w:unhideWhenUsed/>
    <w:qFormat/>
    <w:uiPriority w:val="2"/>
    <w:tblPr>
      <w:tblCellMar>
        <w:top w:w="0" w:type="dxa"/>
        <w:left w:w="0" w:type="dxa"/>
        <w:bottom w:w="0" w:type="dxa"/>
        <w:right w:w="0" w:type="dxa"/>
      </w:tblCellMar>
    </w:tblPr>
  </w:style>
  <w:style w:type="paragraph" w:customStyle="1" w:styleId="9">
    <w:name w:val="List Paragraph"/>
    <w:basedOn w:val="1"/>
    <w:qFormat/>
    <w:uiPriority w:val="1"/>
    <w:pPr>
      <w:spacing w:before="122"/>
      <w:ind w:left="764" w:hanging="525"/>
    </w:pPr>
  </w:style>
  <w:style w:type="paragraph" w:customStyle="1" w:styleId="10">
    <w:name w:val="Table Paragraph"/>
    <w:basedOn w:val="1"/>
    <w:autoRedefine/>
    <w:qFormat/>
    <w:uiPriority w:val="1"/>
    <w:pPr>
      <w:ind w:left="84"/>
    </w:pPr>
  </w:style>
  <w:style w:type="character" w:customStyle="1" w:styleId="11">
    <w:name w:val="页眉 字符"/>
    <w:basedOn w:val="7"/>
    <w:link w:val="5"/>
    <w:qFormat/>
    <w:uiPriority w:val="0"/>
    <w:rPr>
      <w:rFonts w:ascii="新宋体" w:hAnsi="新宋体" w:eastAsia="新宋体" w:cs="新宋体"/>
      <w:sz w:val="18"/>
      <w:szCs w:val="18"/>
      <w:lang w:val="zh-CN" w:bidi="zh-CN"/>
    </w:rPr>
  </w:style>
  <w:style w:type="character" w:customStyle="1" w:styleId="12">
    <w:name w:val="页脚 字符"/>
    <w:basedOn w:val="7"/>
    <w:link w:val="4"/>
    <w:autoRedefine/>
    <w:qFormat/>
    <w:uiPriority w:val="0"/>
    <w:rPr>
      <w:rFonts w:ascii="新宋体" w:hAnsi="新宋体" w:eastAsia="新宋体" w:cs="新宋体"/>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3287</Words>
  <Characters>3416</Characters>
  <Lines>22</Lines>
  <Paragraphs>6</Paragraphs>
  <TotalTime>4</TotalTime>
  <ScaleCrop>false</ScaleCrop>
  <LinksUpToDate>false</LinksUpToDate>
  <CharactersWithSpaces>3431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2022-06-21T16:39:00Z</dcterms:created>
  <dc:creator>Abu设计</dc:creator>
  <cp:keywords>信纸 信笺背景</cp:keywords>
  <cp:lastModifiedBy>今天</cp:lastModifiedBy>
  <dcterms:modified xsi:type="dcterms:W3CDTF">2024-09-10T03:50:57Z</dcterms:modified>
  <dc:subject>信纸</dc:subject>
  <dc:title>信纸-Abu设计</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2021-08-31T00:00:00Z</vt:filetime>
  </property>
  <property fmtid="{D5CDD505-2E9C-101B-9397-08002B2CF9AE}" pid="3" name="Creator">
    <vt:lpwstr>WPS 文字</vt:lpwstr>
  </property>
  <property fmtid="{D5CDD505-2E9C-101B-9397-08002B2CF9AE}" pid="4" name="LastSaved">
    <vt:filetime>2022-06-20T00:00:00Z</vt:filetime>
  </property>
  <property fmtid="{D5CDD505-2E9C-101B-9397-08002B2CF9AE}" pid="5" name="KSOProductBuildVer">
    <vt:lpwstr>2052-12.1.0.17133</vt:lpwstr>
  </property>
  <property fmtid="{D5CDD505-2E9C-101B-9397-08002B2CF9AE}" pid="6" name="ICV">
    <vt:lpwstr>C61ED63DADCB4CF3A96EF93D35DD957F_13</vt:lpwstr>
  </property>
</Properties>
</file>